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2DDF" w:rsidRDefault="00932DDF">
      <w:pPr>
        <w:rPr>
          <w:rFonts w:ascii="Times New Roman" w:hAnsi="Times New Roman" w:cs="Times New Roman"/>
          <w:sz w:val="24"/>
          <w:szCs w:val="24"/>
        </w:rPr>
      </w:pPr>
    </w:p>
    <w:p w:rsidR="00C506F1" w:rsidRDefault="00C506F1" w:rsidP="00C506F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Explain the concepts of implicit contracts. Why do employers prefer to have implicit contracts? What </w:t>
      </w:r>
      <w:r w:rsidR="00BE2ED2">
        <w:rPr>
          <w:rFonts w:ascii="Times New Roman" w:hAnsi="Times New Roman" w:cs="Times New Roman"/>
          <w:sz w:val="24"/>
          <w:szCs w:val="24"/>
        </w:rPr>
        <w:t xml:space="preserve">is the impact of </w:t>
      </w:r>
      <w:r>
        <w:rPr>
          <w:rFonts w:ascii="Times New Roman" w:hAnsi="Times New Roman" w:cs="Times New Roman"/>
          <w:sz w:val="24"/>
          <w:szCs w:val="24"/>
        </w:rPr>
        <w:t>implicit contacts on the unemployment?</w:t>
      </w:r>
    </w:p>
    <w:p w:rsidR="007D4F30" w:rsidRDefault="00BE2ED2" w:rsidP="00BE2ED2">
      <w:pPr>
        <w:rPr>
          <w:rFonts w:ascii="Times New Roman" w:hAnsi="Times New Roman" w:cs="Times New Roman"/>
          <w:sz w:val="24"/>
          <w:szCs w:val="24"/>
        </w:rPr>
      </w:pPr>
      <w:r w:rsidRPr="00BE2ED2">
        <w:rPr>
          <w:rFonts w:ascii="Times New Roman" w:hAnsi="Times New Roman" w:cs="Times New Roman"/>
          <w:sz w:val="24"/>
          <w:szCs w:val="24"/>
        </w:rPr>
        <w:t>Implicit contracts resolve the distribution of uncertainty and</w:t>
      </w:r>
      <w:r>
        <w:rPr>
          <w:rFonts w:ascii="Times New Roman" w:hAnsi="Times New Roman" w:cs="Times New Roman"/>
          <w:sz w:val="24"/>
          <w:szCs w:val="24"/>
        </w:rPr>
        <w:t xml:space="preserve"> </w:t>
      </w:r>
      <w:r w:rsidRPr="00BE2ED2">
        <w:rPr>
          <w:rFonts w:ascii="Times New Roman" w:hAnsi="Times New Roman" w:cs="Times New Roman"/>
          <w:sz w:val="24"/>
          <w:szCs w:val="24"/>
        </w:rPr>
        <w:t xml:space="preserve">utilization of specific human capital between risk </w:t>
      </w:r>
      <w:r>
        <w:rPr>
          <w:rFonts w:ascii="Times New Roman" w:hAnsi="Times New Roman" w:cs="Times New Roman"/>
          <w:sz w:val="24"/>
          <w:szCs w:val="24"/>
        </w:rPr>
        <w:t xml:space="preserve">lurking on </w:t>
      </w:r>
      <w:r w:rsidRPr="00BE2ED2">
        <w:rPr>
          <w:rFonts w:ascii="Times New Roman" w:hAnsi="Times New Roman" w:cs="Times New Roman"/>
          <w:sz w:val="24"/>
          <w:szCs w:val="24"/>
        </w:rPr>
        <w:t>workers and less</w:t>
      </w:r>
      <w:r>
        <w:rPr>
          <w:rFonts w:ascii="Times New Roman" w:hAnsi="Times New Roman" w:cs="Times New Roman"/>
          <w:sz w:val="24"/>
          <w:szCs w:val="24"/>
        </w:rPr>
        <w:t xml:space="preserve"> </w:t>
      </w:r>
      <w:r w:rsidRPr="00BE2ED2">
        <w:rPr>
          <w:rFonts w:ascii="Times New Roman" w:hAnsi="Times New Roman" w:cs="Times New Roman"/>
          <w:sz w:val="24"/>
          <w:szCs w:val="24"/>
        </w:rPr>
        <w:t xml:space="preserve">risk </w:t>
      </w:r>
      <w:r>
        <w:rPr>
          <w:rFonts w:ascii="Times New Roman" w:hAnsi="Times New Roman" w:cs="Times New Roman"/>
          <w:sz w:val="24"/>
          <w:szCs w:val="24"/>
        </w:rPr>
        <w:t xml:space="preserve">above the </w:t>
      </w:r>
      <w:r w:rsidRPr="00BE2ED2">
        <w:rPr>
          <w:rFonts w:ascii="Times New Roman" w:hAnsi="Times New Roman" w:cs="Times New Roman"/>
          <w:sz w:val="24"/>
          <w:szCs w:val="24"/>
        </w:rPr>
        <w:t>firms. Incomplete contracts are required to yield involuntary</w:t>
      </w:r>
      <w:r>
        <w:rPr>
          <w:rFonts w:ascii="Times New Roman" w:hAnsi="Times New Roman" w:cs="Times New Roman"/>
          <w:sz w:val="24"/>
          <w:szCs w:val="24"/>
        </w:rPr>
        <w:t xml:space="preserve"> </w:t>
      </w:r>
      <w:r w:rsidRPr="00BE2ED2">
        <w:rPr>
          <w:rFonts w:ascii="Times New Roman" w:hAnsi="Times New Roman" w:cs="Times New Roman"/>
          <w:sz w:val="24"/>
          <w:szCs w:val="24"/>
        </w:rPr>
        <w:t>layoffs in contract markets</w:t>
      </w:r>
      <w:r>
        <w:rPr>
          <w:rFonts w:ascii="Times New Roman" w:hAnsi="Times New Roman" w:cs="Times New Roman"/>
          <w:sz w:val="24"/>
          <w:szCs w:val="24"/>
        </w:rPr>
        <w:t xml:space="preserve">. </w:t>
      </w:r>
      <w:r w:rsidRPr="00BE2ED2">
        <w:rPr>
          <w:rFonts w:ascii="Times New Roman" w:hAnsi="Times New Roman" w:cs="Times New Roman"/>
          <w:sz w:val="24"/>
          <w:szCs w:val="24"/>
        </w:rPr>
        <w:t>The promise of implicit contract theory lies in taking a step</w:t>
      </w:r>
      <w:r>
        <w:rPr>
          <w:rFonts w:ascii="Times New Roman" w:hAnsi="Times New Roman" w:cs="Times New Roman"/>
          <w:sz w:val="24"/>
          <w:szCs w:val="24"/>
        </w:rPr>
        <w:t xml:space="preserve"> </w:t>
      </w:r>
      <w:r w:rsidRPr="00BE2ED2">
        <w:rPr>
          <w:rFonts w:ascii="Times New Roman" w:hAnsi="Times New Roman" w:cs="Times New Roman"/>
          <w:sz w:val="24"/>
          <w:szCs w:val="24"/>
        </w:rPr>
        <w:t>toward repairing that deficiency</w:t>
      </w:r>
      <w:r w:rsidR="00EE7F29">
        <w:rPr>
          <w:rFonts w:ascii="Times New Roman" w:hAnsi="Times New Roman" w:cs="Times New Roman"/>
          <w:sz w:val="24"/>
          <w:szCs w:val="24"/>
        </w:rPr>
        <w:t>.</w:t>
      </w:r>
    </w:p>
    <w:p w:rsidR="00EE7F29" w:rsidRPr="00EE7F29" w:rsidRDefault="00EE7F29" w:rsidP="00EE7F29">
      <w:pPr>
        <w:rPr>
          <w:rFonts w:ascii="Times New Roman" w:hAnsi="Times New Roman" w:cs="Times New Roman"/>
          <w:sz w:val="24"/>
          <w:szCs w:val="24"/>
        </w:rPr>
      </w:pPr>
      <w:r>
        <w:rPr>
          <w:rFonts w:ascii="Times New Roman" w:hAnsi="Times New Roman" w:cs="Times New Roman"/>
          <w:sz w:val="24"/>
          <w:szCs w:val="24"/>
        </w:rPr>
        <w:t>C</w:t>
      </w:r>
      <w:r w:rsidRPr="00EE7F29">
        <w:rPr>
          <w:rFonts w:ascii="Times New Roman" w:hAnsi="Times New Roman" w:cs="Times New Roman"/>
          <w:sz w:val="24"/>
          <w:szCs w:val="24"/>
        </w:rPr>
        <w:t>ontracts are inherently bilateral negotiations between partners that</w:t>
      </w:r>
      <w:r>
        <w:rPr>
          <w:rFonts w:ascii="Times New Roman" w:hAnsi="Times New Roman" w:cs="Times New Roman"/>
          <w:sz w:val="24"/>
          <w:szCs w:val="24"/>
        </w:rPr>
        <w:t xml:space="preserve"> </w:t>
      </w:r>
      <w:r w:rsidRPr="00EE7F29">
        <w:rPr>
          <w:rFonts w:ascii="Times New Roman" w:hAnsi="Times New Roman" w:cs="Times New Roman"/>
          <w:sz w:val="24"/>
          <w:szCs w:val="24"/>
        </w:rPr>
        <w:t>are disciplined by external opportunities, making analysis of the labor market</w:t>
      </w:r>
      <w:r>
        <w:rPr>
          <w:rFonts w:ascii="Times New Roman" w:hAnsi="Times New Roman" w:cs="Times New Roman"/>
          <w:sz w:val="24"/>
          <w:szCs w:val="24"/>
        </w:rPr>
        <w:t xml:space="preserve"> </w:t>
      </w:r>
      <w:r w:rsidRPr="00EE7F29">
        <w:rPr>
          <w:rFonts w:ascii="Times New Roman" w:hAnsi="Times New Roman" w:cs="Times New Roman"/>
          <w:sz w:val="24"/>
          <w:szCs w:val="24"/>
        </w:rPr>
        <w:t>more akin to the marriage market than to the bourse. Contract markets are</w:t>
      </w:r>
      <w:r>
        <w:rPr>
          <w:rFonts w:ascii="Times New Roman" w:hAnsi="Times New Roman" w:cs="Times New Roman"/>
          <w:sz w:val="24"/>
          <w:szCs w:val="24"/>
        </w:rPr>
        <w:t xml:space="preserve"> </w:t>
      </w:r>
      <w:r w:rsidRPr="00EE7F29">
        <w:rPr>
          <w:rFonts w:ascii="Times New Roman" w:hAnsi="Times New Roman" w:cs="Times New Roman"/>
          <w:sz w:val="24"/>
          <w:szCs w:val="24"/>
        </w:rPr>
        <w:t>supported by frictions and specificity of employment relationships that tends to</w:t>
      </w:r>
      <w:r>
        <w:rPr>
          <w:rFonts w:ascii="Times New Roman" w:hAnsi="Times New Roman" w:cs="Times New Roman"/>
          <w:sz w:val="24"/>
          <w:szCs w:val="24"/>
        </w:rPr>
        <w:t xml:space="preserve"> </w:t>
      </w:r>
      <w:r w:rsidRPr="00EE7F29">
        <w:rPr>
          <w:rFonts w:ascii="Times New Roman" w:hAnsi="Times New Roman" w:cs="Times New Roman"/>
          <w:sz w:val="24"/>
          <w:szCs w:val="24"/>
        </w:rPr>
        <w:t>insulate contracting parties from short—run external shocks and which take</w:t>
      </w:r>
      <w:r>
        <w:rPr>
          <w:rFonts w:ascii="Times New Roman" w:hAnsi="Times New Roman" w:cs="Times New Roman"/>
          <w:sz w:val="24"/>
          <w:szCs w:val="24"/>
        </w:rPr>
        <w:t xml:space="preserve"> </w:t>
      </w:r>
      <w:r w:rsidRPr="00EE7F29">
        <w:rPr>
          <w:rFonts w:ascii="Times New Roman" w:hAnsi="Times New Roman" w:cs="Times New Roman"/>
          <w:sz w:val="24"/>
          <w:szCs w:val="24"/>
        </w:rPr>
        <w:t>current wage rates "out of competition" in allocating labor resources.</w:t>
      </w:r>
    </w:p>
    <w:p w:rsidR="00EE7F29" w:rsidRPr="00EE7F29" w:rsidRDefault="00EE7F29" w:rsidP="00EE7F29">
      <w:pPr>
        <w:rPr>
          <w:rFonts w:ascii="Times New Roman" w:hAnsi="Times New Roman" w:cs="Times New Roman"/>
          <w:sz w:val="24"/>
          <w:szCs w:val="24"/>
        </w:rPr>
      </w:pPr>
      <w:r w:rsidRPr="00EE7F29">
        <w:rPr>
          <w:rFonts w:ascii="Times New Roman" w:hAnsi="Times New Roman" w:cs="Times New Roman"/>
          <w:sz w:val="24"/>
          <w:szCs w:val="24"/>
        </w:rPr>
        <w:t>A contract is a voluntary ex—ante agreement that resolves the</w:t>
      </w:r>
      <w:r>
        <w:rPr>
          <w:rFonts w:ascii="Times New Roman" w:hAnsi="Times New Roman" w:cs="Times New Roman"/>
          <w:sz w:val="24"/>
          <w:szCs w:val="24"/>
        </w:rPr>
        <w:t xml:space="preserve"> </w:t>
      </w:r>
      <w:r w:rsidRPr="00EE7F29">
        <w:rPr>
          <w:rFonts w:ascii="Times New Roman" w:hAnsi="Times New Roman" w:cs="Times New Roman"/>
          <w:sz w:val="24"/>
          <w:szCs w:val="24"/>
        </w:rPr>
        <w:t>distribution of uncertainty about the value and utilization of shared investments</w:t>
      </w:r>
      <w:r>
        <w:rPr>
          <w:rFonts w:ascii="Times New Roman" w:hAnsi="Times New Roman" w:cs="Times New Roman"/>
          <w:sz w:val="24"/>
          <w:szCs w:val="24"/>
        </w:rPr>
        <w:t xml:space="preserve"> </w:t>
      </w:r>
      <w:r w:rsidRPr="00EE7F29">
        <w:rPr>
          <w:rFonts w:ascii="Times New Roman" w:hAnsi="Times New Roman" w:cs="Times New Roman"/>
          <w:sz w:val="24"/>
          <w:szCs w:val="24"/>
        </w:rPr>
        <w:t>between contracting parties. The contract precisely specifies the amount</w:t>
      </w:r>
      <w:r>
        <w:rPr>
          <w:rFonts w:ascii="Times New Roman" w:hAnsi="Times New Roman" w:cs="Times New Roman"/>
          <w:sz w:val="24"/>
          <w:szCs w:val="24"/>
        </w:rPr>
        <w:t xml:space="preserve"> </w:t>
      </w:r>
      <w:r w:rsidRPr="00EE7F29">
        <w:rPr>
          <w:rFonts w:ascii="Times New Roman" w:hAnsi="Times New Roman" w:cs="Times New Roman"/>
          <w:sz w:val="24"/>
          <w:szCs w:val="24"/>
        </w:rPr>
        <w:t>of labor to be utilized and the wages to be paid in each state of nature, that</w:t>
      </w:r>
      <w:r>
        <w:rPr>
          <w:rFonts w:ascii="Times New Roman" w:hAnsi="Times New Roman" w:cs="Times New Roman"/>
          <w:sz w:val="24"/>
          <w:szCs w:val="24"/>
        </w:rPr>
        <w:t xml:space="preserve"> </w:t>
      </w:r>
      <w:r w:rsidRPr="00EE7F29">
        <w:rPr>
          <w:rFonts w:ascii="Times New Roman" w:hAnsi="Times New Roman" w:cs="Times New Roman"/>
          <w:sz w:val="24"/>
          <w:szCs w:val="24"/>
        </w:rPr>
        <w:t>is, conditional on information (random variables) observed by both parties.</w:t>
      </w:r>
    </w:p>
    <w:p w:rsidR="00EE7F29" w:rsidRPr="00EE7F29" w:rsidRDefault="00EE7F29" w:rsidP="00EE7F29">
      <w:pPr>
        <w:rPr>
          <w:rFonts w:ascii="Times New Roman" w:hAnsi="Times New Roman" w:cs="Times New Roman"/>
          <w:sz w:val="24"/>
          <w:szCs w:val="24"/>
        </w:rPr>
      </w:pPr>
      <w:r w:rsidRPr="00EE7F29">
        <w:rPr>
          <w:rFonts w:ascii="Times New Roman" w:hAnsi="Times New Roman" w:cs="Times New Roman"/>
          <w:sz w:val="24"/>
          <w:szCs w:val="24"/>
        </w:rPr>
        <w:t>Wage payments in a contract reflect both allocated production decisions and</w:t>
      </w:r>
      <w:r>
        <w:rPr>
          <w:rFonts w:ascii="Times New Roman" w:hAnsi="Times New Roman" w:cs="Times New Roman"/>
          <w:sz w:val="24"/>
          <w:szCs w:val="24"/>
        </w:rPr>
        <w:t xml:space="preserve"> </w:t>
      </w:r>
      <w:r w:rsidRPr="00EE7F29">
        <w:rPr>
          <w:rFonts w:ascii="Times New Roman" w:hAnsi="Times New Roman" w:cs="Times New Roman"/>
          <w:sz w:val="24"/>
          <w:szCs w:val="24"/>
        </w:rPr>
        <w:t>risk—sharing and income transfer decisions jointly determined by both parties.</w:t>
      </w:r>
    </w:p>
    <w:p w:rsidR="00EE7F29" w:rsidRPr="00EE7F29" w:rsidRDefault="00EE7F29" w:rsidP="00EE7F29">
      <w:pPr>
        <w:rPr>
          <w:rFonts w:ascii="Times New Roman" w:hAnsi="Times New Roman" w:cs="Times New Roman"/>
          <w:sz w:val="24"/>
          <w:szCs w:val="24"/>
        </w:rPr>
      </w:pPr>
      <w:r w:rsidRPr="00EE7F29">
        <w:rPr>
          <w:rFonts w:ascii="Times New Roman" w:hAnsi="Times New Roman" w:cs="Times New Roman"/>
          <w:sz w:val="24"/>
          <w:szCs w:val="24"/>
        </w:rPr>
        <w:t>Contracts</w:t>
      </w:r>
      <w:r>
        <w:rPr>
          <w:rFonts w:ascii="Times New Roman" w:hAnsi="Times New Roman" w:cs="Times New Roman"/>
          <w:sz w:val="24"/>
          <w:szCs w:val="24"/>
        </w:rPr>
        <w:t xml:space="preserve"> </w:t>
      </w:r>
      <w:r w:rsidRPr="00EE7F29">
        <w:rPr>
          <w:rFonts w:ascii="Times New Roman" w:hAnsi="Times New Roman" w:cs="Times New Roman"/>
          <w:sz w:val="24"/>
          <w:szCs w:val="24"/>
        </w:rPr>
        <w:t>allocate resources through a subtle and "flexible" nonlinear pricing mechanism,</w:t>
      </w:r>
      <w:r>
        <w:rPr>
          <w:rFonts w:ascii="Times New Roman" w:hAnsi="Times New Roman" w:cs="Times New Roman"/>
          <w:sz w:val="24"/>
          <w:szCs w:val="24"/>
        </w:rPr>
        <w:t xml:space="preserve"> </w:t>
      </w:r>
      <w:r w:rsidRPr="00EE7F29">
        <w:rPr>
          <w:rFonts w:ascii="Times New Roman" w:hAnsi="Times New Roman" w:cs="Times New Roman"/>
          <w:sz w:val="24"/>
          <w:szCs w:val="24"/>
        </w:rPr>
        <w:t>which sometimes gives the outward appearance of rigidities in observed real</w:t>
      </w:r>
      <w:r>
        <w:rPr>
          <w:rFonts w:ascii="Times New Roman" w:hAnsi="Times New Roman" w:cs="Times New Roman"/>
          <w:sz w:val="24"/>
          <w:szCs w:val="24"/>
        </w:rPr>
        <w:t xml:space="preserve"> </w:t>
      </w:r>
      <w:r w:rsidRPr="00EE7F29">
        <w:rPr>
          <w:rFonts w:ascii="Times New Roman" w:hAnsi="Times New Roman" w:cs="Times New Roman"/>
          <w:sz w:val="24"/>
          <w:szCs w:val="24"/>
        </w:rPr>
        <w:t>wages and prices. But these observed rigidities signal little about market</w:t>
      </w:r>
      <w:r>
        <w:rPr>
          <w:rFonts w:ascii="Times New Roman" w:hAnsi="Times New Roman" w:cs="Times New Roman"/>
          <w:sz w:val="24"/>
          <w:szCs w:val="24"/>
        </w:rPr>
        <w:t xml:space="preserve"> </w:t>
      </w:r>
      <w:r w:rsidRPr="00EE7F29">
        <w:rPr>
          <w:rFonts w:ascii="Times New Roman" w:hAnsi="Times New Roman" w:cs="Times New Roman"/>
          <w:sz w:val="24"/>
          <w:szCs w:val="24"/>
        </w:rPr>
        <w:t>failure.</w:t>
      </w:r>
    </w:p>
    <w:p w:rsidR="00EE7F29" w:rsidRPr="00EE7F29" w:rsidRDefault="00EE7F29" w:rsidP="00EE7F29">
      <w:pPr>
        <w:rPr>
          <w:rFonts w:ascii="Times New Roman" w:hAnsi="Times New Roman" w:cs="Times New Roman"/>
          <w:sz w:val="24"/>
          <w:szCs w:val="24"/>
        </w:rPr>
      </w:pPr>
      <w:r>
        <w:rPr>
          <w:rFonts w:ascii="Times New Roman" w:hAnsi="Times New Roman" w:cs="Times New Roman"/>
          <w:sz w:val="24"/>
          <w:szCs w:val="24"/>
        </w:rPr>
        <w:t>C</w:t>
      </w:r>
      <w:r w:rsidRPr="00EE7F29">
        <w:rPr>
          <w:rFonts w:ascii="Times New Roman" w:hAnsi="Times New Roman" w:cs="Times New Roman"/>
          <w:sz w:val="24"/>
          <w:szCs w:val="24"/>
        </w:rPr>
        <w:t>ontract wages embody implicit payments of</w:t>
      </w:r>
      <w:r>
        <w:rPr>
          <w:rFonts w:ascii="Times New Roman" w:hAnsi="Times New Roman" w:cs="Times New Roman"/>
          <w:sz w:val="24"/>
          <w:szCs w:val="24"/>
        </w:rPr>
        <w:t xml:space="preserve"> </w:t>
      </w:r>
      <w:r w:rsidRPr="00EE7F29">
        <w:rPr>
          <w:rFonts w:ascii="Times New Roman" w:hAnsi="Times New Roman" w:cs="Times New Roman"/>
          <w:sz w:val="24"/>
          <w:szCs w:val="24"/>
        </w:rPr>
        <w:t>insurance premiums by workers in favorable states of nature and receipt of</w:t>
      </w:r>
      <w:r>
        <w:rPr>
          <w:rFonts w:ascii="Times New Roman" w:hAnsi="Times New Roman" w:cs="Times New Roman"/>
          <w:sz w:val="24"/>
          <w:szCs w:val="24"/>
        </w:rPr>
        <w:t xml:space="preserve"> </w:t>
      </w:r>
      <w:r w:rsidRPr="00EE7F29">
        <w:rPr>
          <w:rFonts w:ascii="Times New Roman" w:hAnsi="Times New Roman" w:cs="Times New Roman"/>
          <w:sz w:val="24"/>
          <w:szCs w:val="24"/>
        </w:rPr>
        <w:t>indemnities in unfavorable states. Contractual income transfers smooth</w:t>
      </w:r>
      <w:r>
        <w:rPr>
          <w:rFonts w:ascii="Times New Roman" w:hAnsi="Times New Roman" w:cs="Times New Roman"/>
          <w:sz w:val="24"/>
          <w:szCs w:val="24"/>
        </w:rPr>
        <w:t xml:space="preserve"> </w:t>
      </w:r>
      <w:r w:rsidRPr="00EE7F29">
        <w:rPr>
          <w:rFonts w:ascii="Times New Roman" w:hAnsi="Times New Roman" w:cs="Times New Roman"/>
          <w:sz w:val="24"/>
          <w:szCs w:val="24"/>
        </w:rPr>
        <w:t>consumption, which interacts with labor utilization by eliminating income</w:t>
      </w:r>
      <w:r>
        <w:rPr>
          <w:rFonts w:ascii="Times New Roman" w:hAnsi="Times New Roman" w:cs="Times New Roman"/>
          <w:sz w:val="24"/>
          <w:szCs w:val="24"/>
        </w:rPr>
        <w:t xml:space="preserve"> </w:t>
      </w:r>
      <w:r w:rsidRPr="00EE7F29">
        <w:rPr>
          <w:rFonts w:ascii="Times New Roman" w:hAnsi="Times New Roman" w:cs="Times New Roman"/>
          <w:sz w:val="24"/>
          <w:szCs w:val="24"/>
        </w:rPr>
        <w:t>effects. The prominence of substitution effects promotes an elastic labor</w:t>
      </w:r>
      <w:r>
        <w:rPr>
          <w:rFonts w:ascii="Times New Roman" w:hAnsi="Times New Roman" w:cs="Times New Roman"/>
          <w:sz w:val="24"/>
          <w:szCs w:val="24"/>
        </w:rPr>
        <w:t xml:space="preserve"> </w:t>
      </w:r>
      <w:r w:rsidRPr="00EE7F29">
        <w:rPr>
          <w:rFonts w:ascii="Times New Roman" w:hAnsi="Times New Roman" w:cs="Times New Roman"/>
          <w:sz w:val="24"/>
          <w:szCs w:val="24"/>
        </w:rPr>
        <w:t>utilization response to socially diversifiable external shocks. Contracts tend</w:t>
      </w:r>
      <w:r>
        <w:rPr>
          <w:rFonts w:ascii="Times New Roman" w:hAnsi="Times New Roman" w:cs="Times New Roman"/>
          <w:sz w:val="24"/>
          <w:szCs w:val="24"/>
        </w:rPr>
        <w:t xml:space="preserve"> </w:t>
      </w:r>
      <w:r w:rsidRPr="00EE7F29">
        <w:rPr>
          <w:rFonts w:ascii="Times New Roman" w:hAnsi="Times New Roman" w:cs="Times New Roman"/>
          <w:sz w:val="24"/>
          <w:szCs w:val="24"/>
        </w:rPr>
        <w:t>to increase the volatility of employment, but these effects are difficult to</w:t>
      </w:r>
      <w:r>
        <w:rPr>
          <w:rFonts w:ascii="Times New Roman" w:hAnsi="Times New Roman" w:cs="Times New Roman"/>
          <w:sz w:val="24"/>
          <w:szCs w:val="24"/>
        </w:rPr>
        <w:t xml:space="preserve"> </w:t>
      </w:r>
      <w:r w:rsidRPr="00EE7F29">
        <w:rPr>
          <w:rFonts w:ascii="Times New Roman" w:hAnsi="Times New Roman" w:cs="Times New Roman"/>
          <w:sz w:val="24"/>
          <w:szCs w:val="24"/>
        </w:rPr>
        <w:t>detect in structural econometric models because observed wages reflect more than</w:t>
      </w:r>
      <w:r>
        <w:rPr>
          <w:rFonts w:ascii="Times New Roman" w:hAnsi="Times New Roman" w:cs="Times New Roman"/>
          <w:sz w:val="24"/>
          <w:szCs w:val="24"/>
        </w:rPr>
        <w:t xml:space="preserve"> </w:t>
      </w:r>
      <w:r w:rsidRPr="00EE7F29">
        <w:rPr>
          <w:rFonts w:ascii="Times New Roman" w:hAnsi="Times New Roman" w:cs="Times New Roman"/>
          <w:sz w:val="24"/>
          <w:szCs w:val="24"/>
        </w:rPr>
        <w:t>production/labor supply efficiency margins in contract markets.</w:t>
      </w:r>
    </w:p>
    <w:p w:rsidR="00BE2ED2" w:rsidRDefault="00BE2ED2" w:rsidP="007D4F30">
      <w:pPr>
        <w:rPr>
          <w:rFonts w:ascii="Times New Roman" w:hAnsi="Times New Roman" w:cs="Times New Roman"/>
          <w:sz w:val="24"/>
          <w:szCs w:val="24"/>
        </w:rPr>
      </w:pPr>
    </w:p>
    <w:p w:rsidR="009C345F" w:rsidRDefault="009C345F" w:rsidP="007D4F30">
      <w:pPr>
        <w:rPr>
          <w:rFonts w:ascii="Times New Roman" w:hAnsi="Times New Roman" w:cs="Times New Roman"/>
          <w:sz w:val="24"/>
          <w:szCs w:val="24"/>
        </w:rPr>
      </w:pPr>
    </w:p>
    <w:p w:rsidR="009C345F" w:rsidRDefault="009C345F" w:rsidP="007D4F30">
      <w:pPr>
        <w:rPr>
          <w:rFonts w:ascii="Times New Roman" w:hAnsi="Times New Roman" w:cs="Times New Roman"/>
          <w:sz w:val="24"/>
          <w:szCs w:val="24"/>
        </w:rPr>
      </w:pPr>
    </w:p>
    <w:p w:rsidR="00BE2ED2" w:rsidRPr="007D4F30" w:rsidRDefault="00BE2ED2" w:rsidP="007D4F30">
      <w:pPr>
        <w:rPr>
          <w:rFonts w:ascii="Times New Roman" w:hAnsi="Times New Roman" w:cs="Times New Roman"/>
          <w:sz w:val="24"/>
          <w:szCs w:val="24"/>
        </w:rPr>
      </w:pPr>
    </w:p>
    <w:p w:rsidR="00C506F1" w:rsidRDefault="00C506F1" w:rsidP="00C506F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Summarize the Canadian economic situation in the early 1980s</w:t>
      </w:r>
      <w:r w:rsidR="009C345F">
        <w:rPr>
          <w:rFonts w:ascii="Times New Roman" w:hAnsi="Times New Roman" w:cs="Times New Roman"/>
          <w:sz w:val="24"/>
          <w:szCs w:val="24"/>
        </w:rPr>
        <w:t>. I</w:t>
      </w:r>
      <w:r>
        <w:rPr>
          <w:rFonts w:ascii="Times New Roman" w:hAnsi="Times New Roman" w:cs="Times New Roman"/>
          <w:sz w:val="24"/>
          <w:szCs w:val="24"/>
        </w:rPr>
        <w:t>n particular, explain why unemployment soared at that time.</w:t>
      </w:r>
    </w:p>
    <w:p w:rsidR="00D51639" w:rsidRPr="00D51639" w:rsidRDefault="00D51639" w:rsidP="00D51639">
      <w:pPr>
        <w:rPr>
          <w:rFonts w:ascii="Times New Roman" w:hAnsi="Times New Roman" w:cs="Times New Roman"/>
          <w:sz w:val="24"/>
          <w:szCs w:val="24"/>
        </w:rPr>
      </w:pPr>
      <w:r w:rsidRPr="00D51639">
        <w:rPr>
          <w:rFonts w:ascii="Times New Roman" w:hAnsi="Times New Roman" w:cs="Times New Roman"/>
          <w:sz w:val="24"/>
          <w:szCs w:val="24"/>
        </w:rPr>
        <w:t xml:space="preserve">Unemployment has risen on average since the mid-1960s, both in absolute numbers and as a percentage of the </w:t>
      </w:r>
      <w:proofErr w:type="spellStart"/>
      <w:r w:rsidRPr="00D51639">
        <w:rPr>
          <w:rFonts w:ascii="Times New Roman" w:hAnsi="Times New Roman" w:cs="Times New Roman"/>
          <w:sz w:val="24"/>
          <w:szCs w:val="24"/>
        </w:rPr>
        <w:t>labour</w:t>
      </w:r>
      <w:proofErr w:type="spellEnd"/>
      <w:r w:rsidRPr="00D51639">
        <w:rPr>
          <w:rFonts w:ascii="Times New Roman" w:hAnsi="Times New Roman" w:cs="Times New Roman"/>
          <w:sz w:val="24"/>
          <w:szCs w:val="24"/>
        </w:rPr>
        <w:t xml:space="preserve"> force (unemployment rate). Annual average unemployment rates of 3 to 5 per cent were common before 1958 and from 1964 to 1969. From 1958 to 1963 and in the early 1970s, 5 to 7 per cent rates prevailed.</w:t>
      </w:r>
    </w:p>
    <w:p w:rsidR="00D51639" w:rsidRDefault="00D51639" w:rsidP="00D51639">
      <w:pPr>
        <w:rPr>
          <w:rFonts w:ascii="Times New Roman" w:hAnsi="Times New Roman" w:cs="Times New Roman"/>
          <w:sz w:val="24"/>
          <w:szCs w:val="24"/>
        </w:rPr>
      </w:pPr>
      <w:r w:rsidRPr="00D51639">
        <w:rPr>
          <w:rFonts w:ascii="Times New Roman" w:hAnsi="Times New Roman" w:cs="Times New Roman"/>
          <w:sz w:val="24"/>
          <w:szCs w:val="24"/>
        </w:rPr>
        <w:t xml:space="preserve">Over most of the post-1975 period, employment also grew, but the </w:t>
      </w:r>
      <w:proofErr w:type="spellStart"/>
      <w:r w:rsidRPr="00D51639">
        <w:rPr>
          <w:rFonts w:ascii="Times New Roman" w:hAnsi="Times New Roman" w:cs="Times New Roman"/>
          <w:sz w:val="24"/>
          <w:szCs w:val="24"/>
        </w:rPr>
        <w:t>labour</w:t>
      </w:r>
      <w:proofErr w:type="spellEnd"/>
      <w:r w:rsidRPr="00D51639">
        <w:rPr>
          <w:rFonts w:ascii="Times New Roman" w:hAnsi="Times New Roman" w:cs="Times New Roman"/>
          <w:sz w:val="24"/>
          <w:szCs w:val="24"/>
        </w:rPr>
        <w:t xml:space="preserve"> force grew even more rapidly so that the number and fraction that were unemployed rose. During the recession of the early 1980s (June 1981 to October 1982), the unemployment rate jumped. In August 1981, employment declined, as did </w:t>
      </w:r>
      <w:proofErr w:type="spellStart"/>
      <w:r w:rsidRPr="00D51639">
        <w:rPr>
          <w:rFonts w:ascii="Times New Roman" w:hAnsi="Times New Roman" w:cs="Times New Roman"/>
          <w:sz w:val="24"/>
          <w:szCs w:val="24"/>
        </w:rPr>
        <w:t>labour</w:t>
      </w:r>
      <w:proofErr w:type="spellEnd"/>
      <w:r w:rsidRPr="00D51639">
        <w:rPr>
          <w:rFonts w:ascii="Times New Roman" w:hAnsi="Times New Roman" w:cs="Times New Roman"/>
          <w:sz w:val="24"/>
          <w:szCs w:val="24"/>
        </w:rPr>
        <w:t>-force participation and the fraction of the working-age population that was employed (those 15 years of age and over). The unemployment rate rose steadily over the period to December 1982, reaching 13.1 per cent. This is thought to be the highest rate of unemployment since the Great Depression, when the unemployment rate peaked at 19.3 per cent. The unemployment rate was gradually reduced to about 7 per cent in the late 1980s, but rose sharply again during the recession of the early 1990s, peaking at 12.1 per cent in November 1992.</w:t>
      </w:r>
    </w:p>
    <w:p w:rsidR="00D51639" w:rsidRDefault="00D51639" w:rsidP="00D51639">
      <w:pPr>
        <w:rPr>
          <w:rFonts w:ascii="Times New Roman" w:hAnsi="Times New Roman" w:cs="Times New Roman"/>
          <w:sz w:val="24"/>
          <w:szCs w:val="24"/>
        </w:rPr>
      </w:pPr>
      <w:r>
        <w:rPr>
          <w:rFonts w:ascii="Times New Roman" w:hAnsi="Times New Roman" w:cs="Times New Roman"/>
          <w:sz w:val="24"/>
          <w:szCs w:val="24"/>
        </w:rPr>
        <w:t xml:space="preserve">Major reason for the great unemployment was the occurrence or </w:t>
      </w:r>
      <w:proofErr w:type="spellStart"/>
      <w:r>
        <w:rPr>
          <w:rFonts w:ascii="Times New Roman" w:hAnsi="Times New Roman" w:cs="Times New Roman"/>
          <w:sz w:val="24"/>
          <w:szCs w:val="24"/>
        </w:rPr>
        <w:t>r</w:t>
      </w:r>
      <w:r w:rsidRPr="00D51639">
        <w:rPr>
          <w:rFonts w:ascii="Times New Roman" w:hAnsi="Times New Roman" w:cs="Times New Roman"/>
          <w:sz w:val="24"/>
          <w:szCs w:val="24"/>
        </w:rPr>
        <w:t>acialized</w:t>
      </w:r>
      <w:proofErr w:type="spellEnd"/>
      <w:r w:rsidRPr="00D51639">
        <w:rPr>
          <w:rFonts w:ascii="Times New Roman" w:hAnsi="Times New Roman" w:cs="Times New Roman"/>
          <w:sz w:val="24"/>
          <w:szCs w:val="24"/>
        </w:rPr>
        <w:t xml:space="preserve"> women </w:t>
      </w:r>
      <w:r>
        <w:rPr>
          <w:rFonts w:ascii="Times New Roman" w:hAnsi="Times New Roman" w:cs="Times New Roman"/>
          <w:sz w:val="24"/>
          <w:szCs w:val="24"/>
        </w:rPr>
        <w:t xml:space="preserve">who </w:t>
      </w:r>
      <w:r w:rsidRPr="00D51639">
        <w:rPr>
          <w:rFonts w:ascii="Times New Roman" w:hAnsi="Times New Roman" w:cs="Times New Roman"/>
          <w:sz w:val="24"/>
          <w:szCs w:val="24"/>
        </w:rPr>
        <w:t>had the highest unemployment rate, at 9.6 per cent. While non-</w:t>
      </w:r>
      <w:proofErr w:type="spellStart"/>
      <w:r w:rsidRPr="00D51639">
        <w:rPr>
          <w:rFonts w:ascii="Times New Roman" w:hAnsi="Times New Roman" w:cs="Times New Roman"/>
          <w:sz w:val="24"/>
          <w:szCs w:val="24"/>
        </w:rPr>
        <w:t>racialized</w:t>
      </w:r>
      <w:proofErr w:type="spellEnd"/>
      <w:r w:rsidRPr="00D51639">
        <w:rPr>
          <w:rFonts w:ascii="Times New Roman" w:hAnsi="Times New Roman" w:cs="Times New Roman"/>
          <w:sz w:val="24"/>
          <w:szCs w:val="24"/>
        </w:rPr>
        <w:t xml:space="preserve"> women had a lower unemployment rate than non-</w:t>
      </w:r>
      <w:proofErr w:type="spellStart"/>
      <w:r w:rsidRPr="00D51639">
        <w:rPr>
          <w:rFonts w:ascii="Times New Roman" w:hAnsi="Times New Roman" w:cs="Times New Roman"/>
          <w:sz w:val="24"/>
          <w:szCs w:val="24"/>
        </w:rPr>
        <w:t>racialized</w:t>
      </w:r>
      <w:proofErr w:type="spellEnd"/>
      <w:r w:rsidRPr="00D51639">
        <w:rPr>
          <w:rFonts w:ascii="Times New Roman" w:hAnsi="Times New Roman" w:cs="Times New Roman"/>
          <w:sz w:val="24"/>
          <w:szCs w:val="24"/>
        </w:rPr>
        <w:t xml:space="preserve"> men, unemployment among </w:t>
      </w:r>
      <w:proofErr w:type="spellStart"/>
      <w:r w:rsidRPr="00D51639">
        <w:rPr>
          <w:rFonts w:ascii="Times New Roman" w:hAnsi="Times New Roman" w:cs="Times New Roman"/>
          <w:sz w:val="24"/>
          <w:szCs w:val="24"/>
        </w:rPr>
        <w:t>racialized</w:t>
      </w:r>
      <w:proofErr w:type="spellEnd"/>
      <w:r w:rsidRPr="00D51639">
        <w:rPr>
          <w:rFonts w:ascii="Times New Roman" w:hAnsi="Times New Roman" w:cs="Times New Roman"/>
          <w:sz w:val="24"/>
          <w:szCs w:val="24"/>
        </w:rPr>
        <w:t xml:space="preserve"> women was higher than among </w:t>
      </w:r>
      <w:proofErr w:type="spellStart"/>
      <w:r w:rsidRPr="00D51639">
        <w:rPr>
          <w:rFonts w:ascii="Times New Roman" w:hAnsi="Times New Roman" w:cs="Times New Roman"/>
          <w:sz w:val="24"/>
          <w:szCs w:val="24"/>
        </w:rPr>
        <w:t>racialized</w:t>
      </w:r>
      <w:proofErr w:type="spellEnd"/>
      <w:r w:rsidRPr="00D51639">
        <w:rPr>
          <w:rFonts w:ascii="Times New Roman" w:hAnsi="Times New Roman" w:cs="Times New Roman"/>
          <w:sz w:val="24"/>
          <w:szCs w:val="24"/>
        </w:rPr>
        <w:t xml:space="preserve"> men (8.8 per cent).</w:t>
      </w:r>
    </w:p>
    <w:p w:rsidR="00D51639" w:rsidRDefault="00D51639" w:rsidP="00D51639">
      <w:pPr>
        <w:rPr>
          <w:rFonts w:ascii="Times New Roman" w:hAnsi="Times New Roman" w:cs="Times New Roman"/>
          <w:sz w:val="24"/>
          <w:szCs w:val="24"/>
        </w:rPr>
      </w:pPr>
      <w:r w:rsidRPr="00D51639">
        <w:rPr>
          <w:rFonts w:ascii="Times New Roman" w:hAnsi="Times New Roman" w:cs="Times New Roman"/>
          <w:sz w:val="24"/>
          <w:szCs w:val="24"/>
        </w:rPr>
        <w:t xml:space="preserve">Seasonal unemployment </w:t>
      </w:r>
      <w:r>
        <w:rPr>
          <w:rFonts w:ascii="Times New Roman" w:hAnsi="Times New Roman" w:cs="Times New Roman"/>
          <w:sz w:val="24"/>
          <w:szCs w:val="24"/>
        </w:rPr>
        <w:t>was</w:t>
      </w:r>
      <w:r w:rsidRPr="00D51639">
        <w:rPr>
          <w:rFonts w:ascii="Times New Roman" w:hAnsi="Times New Roman" w:cs="Times New Roman"/>
          <w:sz w:val="24"/>
          <w:szCs w:val="24"/>
        </w:rPr>
        <w:t xml:space="preserve"> </w:t>
      </w:r>
      <w:r>
        <w:rPr>
          <w:rFonts w:ascii="Times New Roman" w:hAnsi="Times New Roman" w:cs="Times New Roman"/>
          <w:sz w:val="24"/>
          <w:szCs w:val="24"/>
        </w:rPr>
        <w:t>another</w:t>
      </w:r>
      <w:r w:rsidRPr="00D51639">
        <w:rPr>
          <w:rFonts w:ascii="Times New Roman" w:hAnsi="Times New Roman" w:cs="Times New Roman"/>
          <w:sz w:val="24"/>
          <w:szCs w:val="24"/>
        </w:rPr>
        <w:t xml:space="preserve"> </w:t>
      </w:r>
      <w:r>
        <w:rPr>
          <w:rFonts w:ascii="Times New Roman" w:hAnsi="Times New Roman" w:cs="Times New Roman"/>
          <w:sz w:val="24"/>
          <w:szCs w:val="24"/>
        </w:rPr>
        <w:t>component</w:t>
      </w:r>
      <w:r w:rsidRPr="00D51639">
        <w:rPr>
          <w:rFonts w:ascii="Times New Roman" w:hAnsi="Times New Roman" w:cs="Times New Roman"/>
          <w:sz w:val="24"/>
          <w:szCs w:val="24"/>
        </w:rPr>
        <w:t xml:space="preserve"> of frictional unemployment, a result of the normal operation of an economy. Other elements </w:t>
      </w:r>
      <w:r>
        <w:rPr>
          <w:rFonts w:ascii="Times New Roman" w:hAnsi="Times New Roman" w:cs="Times New Roman"/>
          <w:sz w:val="24"/>
          <w:szCs w:val="24"/>
        </w:rPr>
        <w:t>were</w:t>
      </w:r>
      <w:r w:rsidRPr="00D51639">
        <w:rPr>
          <w:rFonts w:ascii="Times New Roman" w:hAnsi="Times New Roman" w:cs="Times New Roman"/>
          <w:sz w:val="24"/>
          <w:szCs w:val="24"/>
        </w:rPr>
        <w:t xml:space="preserve"> contributed by the need to search for suitable jobs from time to time even when work </w:t>
      </w:r>
      <w:r>
        <w:rPr>
          <w:rFonts w:ascii="Times New Roman" w:hAnsi="Times New Roman" w:cs="Times New Roman"/>
          <w:sz w:val="24"/>
          <w:szCs w:val="24"/>
        </w:rPr>
        <w:t>was</w:t>
      </w:r>
      <w:r w:rsidRPr="00D51639">
        <w:rPr>
          <w:rFonts w:ascii="Times New Roman" w:hAnsi="Times New Roman" w:cs="Times New Roman"/>
          <w:sz w:val="24"/>
          <w:szCs w:val="24"/>
        </w:rPr>
        <w:t xml:space="preserve"> readily available. Thus</w:t>
      </w:r>
      <w:r>
        <w:rPr>
          <w:rFonts w:ascii="Times New Roman" w:hAnsi="Times New Roman" w:cs="Times New Roman"/>
          <w:sz w:val="24"/>
          <w:szCs w:val="24"/>
        </w:rPr>
        <w:t>, even when the economy operated</w:t>
      </w:r>
      <w:r w:rsidRPr="00D51639">
        <w:rPr>
          <w:rFonts w:ascii="Times New Roman" w:hAnsi="Times New Roman" w:cs="Times New Roman"/>
          <w:sz w:val="24"/>
          <w:szCs w:val="24"/>
        </w:rPr>
        <w:t xml:space="preserve"> at full capacity, there </w:t>
      </w:r>
      <w:r>
        <w:rPr>
          <w:rFonts w:ascii="Times New Roman" w:hAnsi="Times New Roman" w:cs="Times New Roman"/>
          <w:sz w:val="24"/>
          <w:szCs w:val="24"/>
        </w:rPr>
        <w:t>was</w:t>
      </w:r>
      <w:r w:rsidRPr="00D51639">
        <w:rPr>
          <w:rFonts w:ascii="Times New Roman" w:hAnsi="Times New Roman" w:cs="Times New Roman"/>
          <w:sz w:val="24"/>
          <w:szCs w:val="24"/>
        </w:rPr>
        <w:t xml:space="preserve"> always a positive le</w:t>
      </w:r>
      <w:r>
        <w:rPr>
          <w:rFonts w:ascii="Times New Roman" w:hAnsi="Times New Roman" w:cs="Times New Roman"/>
          <w:sz w:val="24"/>
          <w:szCs w:val="24"/>
        </w:rPr>
        <w:t>vel of frictional unemployment.</w:t>
      </w:r>
    </w:p>
    <w:p w:rsidR="00D51639" w:rsidRDefault="00D51639" w:rsidP="00D51639">
      <w:pPr>
        <w:rPr>
          <w:rFonts w:ascii="Times New Roman" w:hAnsi="Times New Roman" w:cs="Times New Roman"/>
          <w:sz w:val="24"/>
          <w:szCs w:val="24"/>
        </w:rPr>
      </w:pPr>
    </w:p>
    <w:p w:rsidR="00C506F1" w:rsidRDefault="00C506F1" w:rsidP="00B20F0A">
      <w:pPr>
        <w:pStyle w:val="ListParagraph"/>
        <w:numPr>
          <w:ilvl w:val="0"/>
          <w:numId w:val="1"/>
        </w:numPr>
        <w:rPr>
          <w:rFonts w:ascii="Times New Roman" w:hAnsi="Times New Roman" w:cs="Times New Roman"/>
          <w:sz w:val="24"/>
          <w:szCs w:val="24"/>
        </w:rPr>
      </w:pPr>
      <w:r w:rsidRPr="00B20F0A">
        <w:rPr>
          <w:rFonts w:ascii="Times New Roman" w:hAnsi="Times New Roman" w:cs="Times New Roman"/>
          <w:sz w:val="24"/>
          <w:szCs w:val="24"/>
        </w:rPr>
        <w:t>What are causes of unemployment? Explain why there is no zero unemployment rates in the economy.</w:t>
      </w:r>
    </w:p>
    <w:p w:rsidR="00B20F0A" w:rsidRDefault="00B20F0A" w:rsidP="00B20F0A">
      <w:pPr>
        <w:rPr>
          <w:rFonts w:ascii="Times New Roman" w:hAnsi="Times New Roman" w:cs="Times New Roman"/>
          <w:sz w:val="24"/>
          <w:szCs w:val="24"/>
        </w:rPr>
      </w:pPr>
      <w:r w:rsidRPr="00B20F0A">
        <w:rPr>
          <w:rFonts w:ascii="Times New Roman" w:hAnsi="Times New Roman" w:cs="Times New Roman"/>
          <w:sz w:val="24"/>
          <w:szCs w:val="24"/>
        </w:rPr>
        <w:t>Unemployment is a term referring to individuals who are employable and seeking a job but are unable to find a job</w:t>
      </w:r>
      <w:r>
        <w:rPr>
          <w:rFonts w:ascii="Times New Roman" w:hAnsi="Times New Roman" w:cs="Times New Roman"/>
          <w:sz w:val="24"/>
          <w:szCs w:val="24"/>
        </w:rPr>
        <w:t xml:space="preserve">. </w:t>
      </w:r>
      <w:r w:rsidRPr="00B20F0A">
        <w:rPr>
          <w:rFonts w:ascii="Times New Roman" w:hAnsi="Times New Roman" w:cs="Times New Roman"/>
          <w:sz w:val="24"/>
          <w:szCs w:val="24"/>
        </w:rPr>
        <w:t>Usually measured by the unemployment rate, which is dividing the number of unemployed people by the total number of people in the workforce, unemployment serves as one of the indicators of an economy’s status.</w:t>
      </w:r>
    </w:p>
    <w:p w:rsidR="00B20F0A" w:rsidRDefault="00B20F0A" w:rsidP="007B151E">
      <w:pPr>
        <w:rPr>
          <w:rFonts w:ascii="Times New Roman" w:hAnsi="Times New Roman" w:cs="Times New Roman"/>
          <w:sz w:val="24"/>
          <w:szCs w:val="24"/>
        </w:rPr>
      </w:pPr>
      <w:r>
        <w:rPr>
          <w:rFonts w:ascii="Times New Roman" w:hAnsi="Times New Roman" w:cs="Times New Roman"/>
          <w:sz w:val="24"/>
          <w:szCs w:val="24"/>
        </w:rPr>
        <w:t>The unemployment rate will never get to zero percent, but it could still go a lot lower</w:t>
      </w:r>
      <w:r w:rsidR="007B151E">
        <w:rPr>
          <w:rFonts w:ascii="Times New Roman" w:hAnsi="Times New Roman" w:cs="Times New Roman"/>
          <w:sz w:val="24"/>
          <w:szCs w:val="24"/>
        </w:rPr>
        <w:t xml:space="preserve">. But it has to start from a certain argument: </w:t>
      </w:r>
      <w:r w:rsidR="007B151E" w:rsidRPr="007B151E">
        <w:rPr>
          <w:rFonts w:ascii="Times New Roman" w:hAnsi="Times New Roman" w:cs="Times New Roman"/>
          <w:sz w:val="24"/>
          <w:szCs w:val="24"/>
        </w:rPr>
        <w:t>First, the person has to be immediately available to work. If a company asks you to start today, you must be able to say “yes” to be considered unemployed. Searching for a job that starts weeks or months from now does not count.</w:t>
      </w:r>
      <w:r w:rsidR="007B151E">
        <w:rPr>
          <w:rFonts w:ascii="Times New Roman" w:hAnsi="Times New Roman" w:cs="Times New Roman"/>
          <w:sz w:val="24"/>
          <w:szCs w:val="24"/>
        </w:rPr>
        <w:t xml:space="preserve"> </w:t>
      </w:r>
      <w:r w:rsidR="007B151E" w:rsidRPr="007B151E">
        <w:rPr>
          <w:rFonts w:ascii="Times New Roman" w:hAnsi="Times New Roman" w:cs="Times New Roman"/>
          <w:sz w:val="24"/>
          <w:szCs w:val="24"/>
        </w:rPr>
        <w:t xml:space="preserve">Second, to be </w:t>
      </w:r>
      <w:r w:rsidR="007B151E" w:rsidRPr="007B151E">
        <w:rPr>
          <w:rFonts w:ascii="Times New Roman" w:hAnsi="Times New Roman" w:cs="Times New Roman"/>
          <w:sz w:val="24"/>
          <w:szCs w:val="24"/>
        </w:rPr>
        <w:lastRenderedPageBreak/>
        <w:t xml:space="preserve">unemployed someone cannot be working, even a tiny bit. Driving for a car company like </w:t>
      </w:r>
      <w:proofErr w:type="spellStart"/>
      <w:r w:rsidR="007B151E" w:rsidRPr="007B151E">
        <w:rPr>
          <w:rFonts w:ascii="Times New Roman" w:hAnsi="Times New Roman" w:cs="Times New Roman"/>
          <w:sz w:val="24"/>
          <w:szCs w:val="24"/>
        </w:rPr>
        <w:t>Uber</w:t>
      </w:r>
      <w:proofErr w:type="spellEnd"/>
      <w:r w:rsidR="007B151E" w:rsidRPr="007B151E">
        <w:rPr>
          <w:rFonts w:ascii="Times New Roman" w:hAnsi="Times New Roman" w:cs="Times New Roman"/>
          <w:sz w:val="24"/>
          <w:szCs w:val="24"/>
        </w:rPr>
        <w:t xml:space="preserve"> while looking for a job means a person is not classified as unemployed but instead is counted as working.</w:t>
      </w:r>
      <w:r w:rsidR="007B151E">
        <w:rPr>
          <w:rFonts w:ascii="Times New Roman" w:hAnsi="Times New Roman" w:cs="Times New Roman"/>
          <w:sz w:val="24"/>
          <w:szCs w:val="24"/>
        </w:rPr>
        <w:t xml:space="preserve"> </w:t>
      </w:r>
      <w:r w:rsidR="007B151E" w:rsidRPr="007B151E">
        <w:rPr>
          <w:rFonts w:ascii="Times New Roman" w:hAnsi="Times New Roman" w:cs="Times New Roman"/>
          <w:sz w:val="24"/>
          <w:szCs w:val="24"/>
        </w:rPr>
        <w:t>Lastly, a person has to be actively searching for a job. Active searching means doing something that could result in an employer contacting a job seeker. Spending hours cruising internet job boards doesn’t count, unless a person sends in at least one resume or contacts a company directly.</w:t>
      </w:r>
    </w:p>
    <w:p w:rsidR="00C506F1" w:rsidRDefault="00C506F1" w:rsidP="00C506F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Assume a monopsony model with the following information.</w:t>
      </w:r>
    </w:p>
    <w:tbl>
      <w:tblPr>
        <w:tblStyle w:val="TableGrid"/>
        <w:tblW w:w="0" w:type="auto"/>
        <w:tblInd w:w="815" w:type="dxa"/>
        <w:tblLook w:val="04A0" w:firstRow="1" w:lastRow="0" w:firstColumn="1" w:lastColumn="0" w:noHBand="0" w:noVBand="1"/>
      </w:tblPr>
      <w:tblGrid>
        <w:gridCol w:w="1657"/>
      </w:tblGrid>
      <w:tr w:rsidR="006E35BF" w:rsidTr="00907C96">
        <w:tc>
          <w:tcPr>
            <w:tcW w:w="1657" w:type="dxa"/>
          </w:tcPr>
          <w:tbl>
            <w:tblPr>
              <w:tblW w:w="0" w:type="auto"/>
              <w:tblBorders>
                <w:top w:val="nil"/>
                <w:left w:val="nil"/>
                <w:bottom w:val="nil"/>
                <w:right w:val="nil"/>
              </w:tblBorders>
              <w:tblLook w:val="0000" w:firstRow="0" w:lastRow="0" w:firstColumn="0" w:lastColumn="0" w:noHBand="0" w:noVBand="0"/>
            </w:tblPr>
            <w:tblGrid>
              <w:gridCol w:w="338"/>
              <w:gridCol w:w="460"/>
              <w:gridCol w:w="643"/>
            </w:tblGrid>
            <w:tr w:rsidR="00907C96" w:rsidTr="00907C96">
              <w:trPr>
                <w:trHeight w:val="105"/>
              </w:trPr>
              <w:tc>
                <w:tcPr>
                  <w:tcW w:w="0" w:type="auto"/>
                  <w:tcBorders>
                    <w:bottom w:val="single" w:sz="4" w:space="0" w:color="auto"/>
                    <w:right w:val="single" w:sz="4" w:space="0" w:color="auto"/>
                  </w:tcBorders>
                </w:tcPr>
                <w:p w:rsidR="00907C96" w:rsidRDefault="00907C96">
                  <w:pPr>
                    <w:pStyle w:val="Default"/>
                    <w:rPr>
                      <w:sz w:val="22"/>
                      <w:szCs w:val="22"/>
                    </w:rPr>
                  </w:pPr>
                  <w:r>
                    <w:rPr>
                      <w:b/>
                      <w:bCs/>
                      <w:sz w:val="22"/>
                      <w:szCs w:val="22"/>
                    </w:rPr>
                    <w:t xml:space="preserve">L </w:t>
                  </w:r>
                </w:p>
              </w:tc>
              <w:tc>
                <w:tcPr>
                  <w:tcW w:w="0" w:type="auto"/>
                  <w:tcBorders>
                    <w:left w:val="single" w:sz="4" w:space="0" w:color="auto"/>
                    <w:bottom w:val="single" w:sz="4" w:space="0" w:color="auto"/>
                    <w:right w:val="single" w:sz="4" w:space="0" w:color="auto"/>
                  </w:tcBorders>
                </w:tcPr>
                <w:p w:rsidR="00907C96" w:rsidRDefault="00907C96">
                  <w:pPr>
                    <w:pStyle w:val="Default"/>
                    <w:rPr>
                      <w:sz w:val="22"/>
                      <w:szCs w:val="22"/>
                    </w:rPr>
                  </w:pPr>
                  <w:r>
                    <w:rPr>
                      <w:b/>
                      <w:bCs/>
                      <w:sz w:val="22"/>
                      <w:szCs w:val="22"/>
                    </w:rPr>
                    <w:t xml:space="preserve">W </w:t>
                  </w:r>
                </w:p>
              </w:tc>
              <w:tc>
                <w:tcPr>
                  <w:tcW w:w="0" w:type="auto"/>
                  <w:tcBorders>
                    <w:left w:val="single" w:sz="4" w:space="0" w:color="auto"/>
                    <w:bottom w:val="single" w:sz="4" w:space="0" w:color="auto"/>
                  </w:tcBorders>
                </w:tcPr>
                <w:p w:rsidR="00907C96" w:rsidRDefault="00907C96">
                  <w:pPr>
                    <w:pStyle w:val="Default"/>
                    <w:rPr>
                      <w:sz w:val="22"/>
                      <w:szCs w:val="22"/>
                    </w:rPr>
                  </w:pPr>
                  <w:r>
                    <w:rPr>
                      <w:b/>
                      <w:bCs/>
                      <w:sz w:val="22"/>
                      <w:szCs w:val="22"/>
                    </w:rPr>
                    <w:t xml:space="preserve">MP </w:t>
                  </w:r>
                </w:p>
              </w:tc>
            </w:tr>
            <w:tr w:rsidR="00907C96" w:rsidTr="00907C96">
              <w:trPr>
                <w:trHeight w:val="105"/>
              </w:trPr>
              <w:tc>
                <w:tcPr>
                  <w:tcW w:w="0" w:type="auto"/>
                  <w:tcBorders>
                    <w:top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1 </w:t>
                  </w:r>
                </w:p>
              </w:tc>
              <w:tc>
                <w:tcPr>
                  <w:tcW w:w="0" w:type="auto"/>
                  <w:tcBorders>
                    <w:top w:val="single" w:sz="4" w:space="0" w:color="auto"/>
                    <w:left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10 </w:t>
                  </w:r>
                </w:p>
              </w:tc>
              <w:tc>
                <w:tcPr>
                  <w:tcW w:w="0" w:type="auto"/>
                  <w:tcBorders>
                    <w:top w:val="single" w:sz="4" w:space="0" w:color="auto"/>
                    <w:left w:val="single" w:sz="4" w:space="0" w:color="auto"/>
                    <w:bottom w:val="single" w:sz="4" w:space="0" w:color="auto"/>
                  </w:tcBorders>
                </w:tcPr>
                <w:p w:rsidR="00907C96" w:rsidRDefault="00907C96">
                  <w:pPr>
                    <w:pStyle w:val="Default"/>
                    <w:rPr>
                      <w:sz w:val="22"/>
                      <w:szCs w:val="22"/>
                    </w:rPr>
                  </w:pPr>
                  <w:r>
                    <w:rPr>
                      <w:sz w:val="22"/>
                      <w:szCs w:val="22"/>
                    </w:rPr>
                    <w:t xml:space="preserve">25.0 </w:t>
                  </w:r>
                </w:p>
              </w:tc>
            </w:tr>
            <w:tr w:rsidR="00907C96" w:rsidTr="00907C96">
              <w:trPr>
                <w:trHeight w:val="105"/>
              </w:trPr>
              <w:tc>
                <w:tcPr>
                  <w:tcW w:w="0" w:type="auto"/>
                  <w:tcBorders>
                    <w:top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2 </w:t>
                  </w:r>
                </w:p>
              </w:tc>
              <w:tc>
                <w:tcPr>
                  <w:tcW w:w="0" w:type="auto"/>
                  <w:tcBorders>
                    <w:top w:val="single" w:sz="4" w:space="0" w:color="auto"/>
                    <w:left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15 </w:t>
                  </w:r>
                </w:p>
              </w:tc>
              <w:tc>
                <w:tcPr>
                  <w:tcW w:w="0" w:type="auto"/>
                  <w:tcBorders>
                    <w:top w:val="single" w:sz="4" w:space="0" w:color="auto"/>
                    <w:left w:val="single" w:sz="4" w:space="0" w:color="auto"/>
                    <w:bottom w:val="single" w:sz="4" w:space="0" w:color="auto"/>
                  </w:tcBorders>
                </w:tcPr>
                <w:p w:rsidR="00907C96" w:rsidRDefault="00907C96">
                  <w:pPr>
                    <w:pStyle w:val="Default"/>
                    <w:rPr>
                      <w:sz w:val="22"/>
                      <w:szCs w:val="22"/>
                    </w:rPr>
                  </w:pPr>
                  <w:r>
                    <w:rPr>
                      <w:sz w:val="22"/>
                      <w:szCs w:val="22"/>
                    </w:rPr>
                    <w:t xml:space="preserve">22.5 </w:t>
                  </w:r>
                </w:p>
              </w:tc>
            </w:tr>
            <w:tr w:rsidR="00907C96" w:rsidTr="00907C96">
              <w:trPr>
                <w:trHeight w:val="105"/>
              </w:trPr>
              <w:tc>
                <w:tcPr>
                  <w:tcW w:w="0" w:type="auto"/>
                  <w:tcBorders>
                    <w:top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3 </w:t>
                  </w:r>
                </w:p>
              </w:tc>
              <w:tc>
                <w:tcPr>
                  <w:tcW w:w="0" w:type="auto"/>
                  <w:tcBorders>
                    <w:top w:val="single" w:sz="4" w:space="0" w:color="auto"/>
                    <w:left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20 </w:t>
                  </w:r>
                </w:p>
              </w:tc>
              <w:tc>
                <w:tcPr>
                  <w:tcW w:w="0" w:type="auto"/>
                  <w:tcBorders>
                    <w:top w:val="single" w:sz="4" w:space="0" w:color="auto"/>
                    <w:left w:val="single" w:sz="4" w:space="0" w:color="auto"/>
                    <w:bottom w:val="single" w:sz="4" w:space="0" w:color="auto"/>
                  </w:tcBorders>
                </w:tcPr>
                <w:p w:rsidR="00907C96" w:rsidRDefault="00907C96">
                  <w:pPr>
                    <w:pStyle w:val="Default"/>
                    <w:rPr>
                      <w:sz w:val="22"/>
                      <w:szCs w:val="22"/>
                    </w:rPr>
                  </w:pPr>
                  <w:r>
                    <w:rPr>
                      <w:sz w:val="22"/>
                      <w:szCs w:val="22"/>
                    </w:rPr>
                    <w:t xml:space="preserve">20.0 </w:t>
                  </w:r>
                </w:p>
              </w:tc>
            </w:tr>
            <w:tr w:rsidR="00907C96" w:rsidTr="00907C96">
              <w:trPr>
                <w:trHeight w:val="105"/>
              </w:trPr>
              <w:tc>
                <w:tcPr>
                  <w:tcW w:w="0" w:type="auto"/>
                  <w:tcBorders>
                    <w:top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4 </w:t>
                  </w:r>
                </w:p>
              </w:tc>
              <w:tc>
                <w:tcPr>
                  <w:tcW w:w="0" w:type="auto"/>
                  <w:tcBorders>
                    <w:top w:val="single" w:sz="4" w:space="0" w:color="auto"/>
                    <w:left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25 </w:t>
                  </w:r>
                </w:p>
              </w:tc>
              <w:tc>
                <w:tcPr>
                  <w:tcW w:w="0" w:type="auto"/>
                  <w:tcBorders>
                    <w:top w:val="single" w:sz="4" w:space="0" w:color="auto"/>
                    <w:left w:val="single" w:sz="4" w:space="0" w:color="auto"/>
                    <w:bottom w:val="single" w:sz="4" w:space="0" w:color="auto"/>
                  </w:tcBorders>
                </w:tcPr>
                <w:p w:rsidR="00907C96" w:rsidRDefault="00907C96">
                  <w:pPr>
                    <w:pStyle w:val="Default"/>
                    <w:rPr>
                      <w:sz w:val="22"/>
                      <w:szCs w:val="22"/>
                    </w:rPr>
                  </w:pPr>
                  <w:r>
                    <w:rPr>
                      <w:sz w:val="22"/>
                      <w:szCs w:val="22"/>
                    </w:rPr>
                    <w:t xml:space="preserve">17.5 </w:t>
                  </w:r>
                </w:p>
              </w:tc>
            </w:tr>
            <w:tr w:rsidR="00907C96" w:rsidTr="00907C96">
              <w:trPr>
                <w:trHeight w:val="105"/>
              </w:trPr>
              <w:tc>
                <w:tcPr>
                  <w:tcW w:w="0" w:type="auto"/>
                  <w:tcBorders>
                    <w:top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5 </w:t>
                  </w:r>
                </w:p>
              </w:tc>
              <w:tc>
                <w:tcPr>
                  <w:tcW w:w="0" w:type="auto"/>
                  <w:tcBorders>
                    <w:top w:val="single" w:sz="4" w:space="0" w:color="auto"/>
                    <w:left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30 </w:t>
                  </w:r>
                </w:p>
              </w:tc>
              <w:tc>
                <w:tcPr>
                  <w:tcW w:w="0" w:type="auto"/>
                  <w:tcBorders>
                    <w:top w:val="single" w:sz="4" w:space="0" w:color="auto"/>
                    <w:left w:val="single" w:sz="4" w:space="0" w:color="auto"/>
                    <w:bottom w:val="single" w:sz="4" w:space="0" w:color="auto"/>
                  </w:tcBorders>
                </w:tcPr>
                <w:p w:rsidR="00907C96" w:rsidRDefault="00907C96">
                  <w:pPr>
                    <w:pStyle w:val="Default"/>
                    <w:rPr>
                      <w:sz w:val="22"/>
                      <w:szCs w:val="22"/>
                    </w:rPr>
                  </w:pPr>
                  <w:r>
                    <w:rPr>
                      <w:sz w:val="22"/>
                      <w:szCs w:val="22"/>
                    </w:rPr>
                    <w:t xml:space="preserve">15.0 </w:t>
                  </w:r>
                </w:p>
              </w:tc>
            </w:tr>
            <w:tr w:rsidR="00907C96" w:rsidTr="00907C96">
              <w:trPr>
                <w:trHeight w:val="105"/>
              </w:trPr>
              <w:tc>
                <w:tcPr>
                  <w:tcW w:w="0" w:type="auto"/>
                  <w:tcBorders>
                    <w:bottom w:val="single" w:sz="4" w:space="0" w:color="auto"/>
                    <w:right w:val="single" w:sz="4" w:space="0" w:color="auto"/>
                  </w:tcBorders>
                </w:tcPr>
                <w:p w:rsidR="00907C96" w:rsidRDefault="00907C96">
                  <w:pPr>
                    <w:pStyle w:val="Default"/>
                    <w:rPr>
                      <w:sz w:val="22"/>
                      <w:szCs w:val="22"/>
                    </w:rPr>
                  </w:pPr>
                  <w:r>
                    <w:rPr>
                      <w:sz w:val="22"/>
                      <w:szCs w:val="22"/>
                    </w:rPr>
                    <w:t xml:space="preserve">6 </w:t>
                  </w:r>
                </w:p>
              </w:tc>
              <w:tc>
                <w:tcPr>
                  <w:tcW w:w="0" w:type="auto"/>
                  <w:tcBorders>
                    <w:left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35 </w:t>
                  </w:r>
                </w:p>
              </w:tc>
              <w:tc>
                <w:tcPr>
                  <w:tcW w:w="0" w:type="auto"/>
                  <w:tcBorders>
                    <w:left w:val="single" w:sz="4" w:space="0" w:color="auto"/>
                    <w:bottom w:val="single" w:sz="4" w:space="0" w:color="auto"/>
                  </w:tcBorders>
                </w:tcPr>
                <w:p w:rsidR="00907C96" w:rsidRDefault="00907C96">
                  <w:pPr>
                    <w:pStyle w:val="Default"/>
                    <w:rPr>
                      <w:sz w:val="22"/>
                      <w:szCs w:val="22"/>
                    </w:rPr>
                  </w:pPr>
                  <w:r>
                    <w:rPr>
                      <w:sz w:val="22"/>
                      <w:szCs w:val="22"/>
                    </w:rPr>
                    <w:t xml:space="preserve">12.5 </w:t>
                  </w:r>
                </w:p>
              </w:tc>
            </w:tr>
            <w:tr w:rsidR="00907C96" w:rsidTr="00907C96">
              <w:trPr>
                <w:trHeight w:val="105"/>
              </w:trPr>
              <w:tc>
                <w:tcPr>
                  <w:tcW w:w="0" w:type="auto"/>
                  <w:tcBorders>
                    <w:top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7 </w:t>
                  </w:r>
                </w:p>
              </w:tc>
              <w:tc>
                <w:tcPr>
                  <w:tcW w:w="0" w:type="auto"/>
                  <w:tcBorders>
                    <w:top w:val="single" w:sz="4" w:space="0" w:color="auto"/>
                    <w:left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40 </w:t>
                  </w:r>
                </w:p>
              </w:tc>
              <w:tc>
                <w:tcPr>
                  <w:tcW w:w="0" w:type="auto"/>
                  <w:tcBorders>
                    <w:top w:val="single" w:sz="4" w:space="0" w:color="auto"/>
                    <w:left w:val="single" w:sz="4" w:space="0" w:color="auto"/>
                    <w:bottom w:val="single" w:sz="4" w:space="0" w:color="auto"/>
                  </w:tcBorders>
                </w:tcPr>
                <w:p w:rsidR="00907C96" w:rsidRDefault="00907C96">
                  <w:pPr>
                    <w:pStyle w:val="Default"/>
                    <w:rPr>
                      <w:sz w:val="22"/>
                      <w:szCs w:val="22"/>
                    </w:rPr>
                  </w:pPr>
                  <w:r>
                    <w:rPr>
                      <w:sz w:val="22"/>
                      <w:szCs w:val="22"/>
                    </w:rPr>
                    <w:t xml:space="preserve">10.0 </w:t>
                  </w:r>
                </w:p>
              </w:tc>
            </w:tr>
            <w:tr w:rsidR="00907C96" w:rsidTr="00907C96">
              <w:trPr>
                <w:trHeight w:val="105"/>
              </w:trPr>
              <w:tc>
                <w:tcPr>
                  <w:tcW w:w="0" w:type="auto"/>
                  <w:tcBorders>
                    <w:top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8 </w:t>
                  </w:r>
                </w:p>
              </w:tc>
              <w:tc>
                <w:tcPr>
                  <w:tcW w:w="0" w:type="auto"/>
                  <w:tcBorders>
                    <w:top w:val="single" w:sz="4" w:space="0" w:color="auto"/>
                    <w:left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45 </w:t>
                  </w:r>
                </w:p>
              </w:tc>
              <w:tc>
                <w:tcPr>
                  <w:tcW w:w="0" w:type="auto"/>
                  <w:tcBorders>
                    <w:top w:val="single" w:sz="4" w:space="0" w:color="auto"/>
                    <w:left w:val="single" w:sz="4" w:space="0" w:color="auto"/>
                    <w:bottom w:val="single" w:sz="4" w:space="0" w:color="auto"/>
                  </w:tcBorders>
                </w:tcPr>
                <w:p w:rsidR="00907C96" w:rsidRDefault="00907C96">
                  <w:pPr>
                    <w:pStyle w:val="Default"/>
                    <w:rPr>
                      <w:sz w:val="22"/>
                      <w:szCs w:val="22"/>
                    </w:rPr>
                  </w:pPr>
                  <w:r>
                    <w:rPr>
                      <w:sz w:val="22"/>
                      <w:szCs w:val="22"/>
                    </w:rPr>
                    <w:t xml:space="preserve">7.5 </w:t>
                  </w:r>
                </w:p>
              </w:tc>
            </w:tr>
            <w:tr w:rsidR="00907C96" w:rsidTr="00907C96">
              <w:trPr>
                <w:trHeight w:val="105"/>
              </w:trPr>
              <w:tc>
                <w:tcPr>
                  <w:tcW w:w="0" w:type="auto"/>
                  <w:tcBorders>
                    <w:top w:val="single" w:sz="4" w:space="0" w:color="auto"/>
                    <w:right w:val="single" w:sz="4" w:space="0" w:color="auto"/>
                  </w:tcBorders>
                </w:tcPr>
                <w:p w:rsidR="00907C96" w:rsidRDefault="00907C96">
                  <w:pPr>
                    <w:pStyle w:val="Default"/>
                    <w:rPr>
                      <w:sz w:val="22"/>
                      <w:szCs w:val="22"/>
                    </w:rPr>
                  </w:pPr>
                  <w:r>
                    <w:rPr>
                      <w:sz w:val="22"/>
                      <w:szCs w:val="22"/>
                    </w:rPr>
                    <w:t xml:space="preserve">9 </w:t>
                  </w:r>
                </w:p>
              </w:tc>
              <w:tc>
                <w:tcPr>
                  <w:tcW w:w="0" w:type="auto"/>
                  <w:tcBorders>
                    <w:top w:val="single" w:sz="4" w:space="0" w:color="auto"/>
                    <w:left w:val="single" w:sz="4" w:space="0" w:color="auto"/>
                    <w:right w:val="single" w:sz="4" w:space="0" w:color="auto"/>
                  </w:tcBorders>
                </w:tcPr>
                <w:p w:rsidR="00907C96" w:rsidRDefault="00907C96">
                  <w:pPr>
                    <w:pStyle w:val="Default"/>
                    <w:rPr>
                      <w:sz w:val="22"/>
                      <w:szCs w:val="22"/>
                    </w:rPr>
                  </w:pPr>
                  <w:r>
                    <w:rPr>
                      <w:sz w:val="22"/>
                      <w:szCs w:val="22"/>
                    </w:rPr>
                    <w:t xml:space="preserve">50 </w:t>
                  </w:r>
                </w:p>
              </w:tc>
              <w:tc>
                <w:tcPr>
                  <w:tcW w:w="0" w:type="auto"/>
                  <w:tcBorders>
                    <w:top w:val="single" w:sz="4" w:space="0" w:color="auto"/>
                    <w:left w:val="single" w:sz="4" w:space="0" w:color="auto"/>
                  </w:tcBorders>
                </w:tcPr>
                <w:p w:rsidR="00907C96" w:rsidRDefault="00907C96">
                  <w:pPr>
                    <w:pStyle w:val="Default"/>
                    <w:rPr>
                      <w:sz w:val="22"/>
                      <w:szCs w:val="22"/>
                    </w:rPr>
                  </w:pPr>
                  <w:r>
                    <w:rPr>
                      <w:sz w:val="22"/>
                      <w:szCs w:val="22"/>
                    </w:rPr>
                    <w:t xml:space="preserve">5.0 </w:t>
                  </w:r>
                </w:p>
              </w:tc>
            </w:tr>
          </w:tbl>
          <w:p w:rsidR="006E35BF" w:rsidRDefault="006E35BF" w:rsidP="00BD7C16">
            <w:pPr>
              <w:rPr>
                <w:rFonts w:ascii="Times New Roman" w:hAnsi="Times New Roman" w:cs="Times New Roman"/>
                <w:sz w:val="24"/>
                <w:szCs w:val="24"/>
              </w:rPr>
            </w:pPr>
          </w:p>
        </w:tc>
      </w:tr>
    </w:tbl>
    <w:p w:rsidR="00907C96" w:rsidRDefault="00907C96" w:rsidP="008520B6">
      <w:pPr>
        <w:ind w:firstLine="360"/>
        <w:rPr>
          <w:rFonts w:ascii="Times New Roman" w:hAnsi="Times New Roman" w:cs="Times New Roman"/>
          <w:sz w:val="24"/>
          <w:szCs w:val="24"/>
        </w:rPr>
      </w:pPr>
    </w:p>
    <w:p w:rsidR="00C506F1" w:rsidRDefault="00C506F1" w:rsidP="008520B6">
      <w:pPr>
        <w:ind w:firstLine="360"/>
        <w:rPr>
          <w:rFonts w:ascii="Times New Roman" w:hAnsi="Times New Roman" w:cs="Times New Roman"/>
          <w:sz w:val="24"/>
          <w:szCs w:val="24"/>
        </w:rPr>
      </w:pPr>
      <w:r>
        <w:rPr>
          <w:rFonts w:ascii="Times New Roman" w:hAnsi="Times New Roman" w:cs="Times New Roman"/>
          <w:sz w:val="24"/>
          <w:szCs w:val="24"/>
        </w:rPr>
        <w:t>Assuming the market price of the output is $3.00 per unit, answer the following.</w:t>
      </w:r>
    </w:p>
    <w:p w:rsidR="00C506F1" w:rsidRDefault="00C506F1" w:rsidP="008520B6">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Draw the firm’s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supply and marginal resource cost curves. Are the curves the same or different? If they are different, which one is higher?</w:t>
      </w:r>
    </w:p>
    <w:p w:rsidR="008B6C5E" w:rsidRDefault="008B6C5E" w:rsidP="008B6C5E">
      <w:pPr>
        <w:rPr>
          <w:rFonts w:ascii="Times New Roman" w:hAnsi="Times New Roman" w:cs="Times New Roman"/>
          <w:sz w:val="24"/>
          <w:szCs w:val="24"/>
        </w:rPr>
      </w:pPr>
      <w:bookmarkStart w:id="0" w:name="_GoBack"/>
      <w:r>
        <w:rPr>
          <w:rFonts w:ascii="Times New Roman" w:hAnsi="Times New Roman" w:cs="Times New Roman"/>
          <w:noProof/>
          <w:sz w:val="24"/>
          <w:szCs w:val="24"/>
        </w:rPr>
        <w:drawing>
          <wp:inline distT="0" distB="0" distL="0" distR="0">
            <wp:extent cx="5486400" cy="32004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bookmarkEnd w:id="0"/>
    </w:p>
    <w:p w:rsidR="008B6C5E" w:rsidRPr="008B6C5E" w:rsidRDefault="008B6C5E" w:rsidP="008B6C5E">
      <w:pPr>
        <w:rPr>
          <w:rFonts w:ascii="Times New Roman" w:hAnsi="Times New Roman" w:cs="Times New Roman"/>
          <w:sz w:val="24"/>
          <w:szCs w:val="24"/>
        </w:rPr>
      </w:pPr>
    </w:p>
    <w:p w:rsidR="00C506F1" w:rsidRDefault="00C506F1" w:rsidP="008520B6">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 xml:space="preserve">On the same graph, plot the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demand data. What are the equilibrium wage rate and level of employment?</w:t>
      </w:r>
    </w:p>
    <w:p w:rsidR="00C506F1" w:rsidRDefault="00C506F1" w:rsidP="008520B6">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If the government imposes a minimum wage of $30, determine the employment level. </w:t>
      </w:r>
    </w:p>
    <w:p w:rsidR="00C506F1" w:rsidRDefault="00C506F1" w:rsidP="008520B6">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If this is a market of perfect competition. By how much does the </w:t>
      </w:r>
      <w:proofErr w:type="spellStart"/>
      <w:r>
        <w:rPr>
          <w:rFonts w:ascii="Times New Roman" w:hAnsi="Times New Roman" w:cs="Times New Roman"/>
          <w:sz w:val="24"/>
          <w:szCs w:val="24"/>
        </w:rPr>
        <w:t>monopsonist</w:t>
      </w:r>
      <w:proofErr w:type="spellEnd"/>
      <w:r>
        <w:rPr>
          <w:rFonts w:ascii="Times New Roman" w:hAnsi="Times New Roman" w:cs="Times New Roman"/>
          <w:sz w:val="24"/>
          <w:szCs w:val="24"/>
        </w:rPr>
        <w:t xml:space="preserve"> reduce employment below the competitive level?</w:t>
      </w:r>
    </w:p>
    <w:p w:rsidR="00BD7C16" w:rsidRPr="00BD7C16" w:rsidRDefault="00BD7C16" w:rsidP="00BD7C16">
      <w:pPr>
        <w:rPr>
          <w:rFonts w:ascii="Times New Roman" w:hAnsi="Times New Roman" w:cs="Times New Roman"/>
          <w:sz w:val="24"/>
          <w:szCs w:val="24"/>
        </w:rPr>
      </w:pPr>
    </w:p>
    <w:p w:rsidR="00C506F1" w:rsidRDefault="00C506F1" w:rsidP="00C506F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Evaluate the following if it is true, false or uncertain.</w:t>
      </w:r>
    </w:p>
    <w:p w:rsidR="00C506F1" w:rsidRPr="008520B6" w:rsidRDefault="008520B6" w:rsidP="008520B6">
      <w:pPr>
        <w:pStyle w:val="ListParagraph"/>
        <w:numPr>
          <w:ilvl w:val="0"/>
          <w:numId w:val="5"/>
        </w:numPr>
        <w:rPr>
          <w:rFonts w:ascii="Times New Roman" w:hAnsi="Times New Roman" w:cs="Times New Roman"/>
          <w:sz w:val="24"/>
          <w:szCs w:val="24"/>
        </w:rPr>
      </w:pPr>
      <w:proofErr w:type="spellStart"/>
      <w:r w:rsidRPr="008520B6">
        <w:rPr>
          <w:rFonts w:ascii="Times New Roman" w:hAnsi="Times New Roman" w:cs="Times New Roman"/>
          <w:sz w:val="24"/>
          <w:szCs w:val="24"/>
        </w:rPr>
        <w:t>L</w:t>
      </w:r>
      <w:r w:rsidR="00C506F1" w:rsidRPr="008520B6">
        <w:rPr>
          <w:rFonts w:ascii="Times New Roman" w:hAnsi="Times New Roman" w:cs="Times New Roman"/>
          <w:sz w:val="24"/>
          <w:szCs w:val="24"/>
        </w:rPr>
        <w:t>abour</w:t>
      </w:r>
      <w:proofErr w:type="spellEnd"/>
      <w:r w:rsidRPr="008520B6">
        <w:rPr>
          <w:rFonts w:ascii="Times New Roman" w:hAnsi="Times New Roman" w:cs="Times New Roman"/>
          <w:sz w:val="24"/>
          <w:szCs w:val="24"/>
        </w:rPr>
        <w:t xml:space="preserve"> union increases efficiency and wage rate</w:t>
      </w:r>
      <w:r w:rsidR="00BD7C16">
        <w:rPr>
          <w:rFonts w:ascii="Times New Roman" w:hAnsi="Times New Roman" w:cs="Times New Roman"/>
          <w:sz w:val="24"/>
          <w:szCs w:val="24"/>
        </w:rPr>
        <w:t xml:space="preserve"> - true</w:t>
      </w:r>
    </w:p>
    <w:p w:rsidR="008520B6" w:rsidRDefault="008520B6" w:rsidP="008520B6">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Minimum wage policy increases efficiency and employment</w:t>
      </w:r>
      <w:r w:rsidR="00BD7C16">
        <w:rPr>
          <w:rFonts w:ascii="Times New Roman" w:hAnsi="Times New Roman" w:cs="Times New Roman"/>
          <w:sz w:val="24"/>
          <w:szCs w:val="24"/>
        </w:rPr>
        <w:t xml:space="preserve"> - true</w:t>
      </w:r>
    </w:p>
    <w:p w:rsidR="00BD7C16" w:rsidRPr="00BD7C16" w:rsidRDefault="00BD7C16" w:rsidP="00BD7C16">
      <w:pPr>
        <w:rPr>
          <w:rFonts w:ascii="Times New Roman" w:hAnsi="Times New Roman" w:cs="Times New Roman"/>
          <w:sz w:val="24"/>
          <w:szCs w:val="24"/>
        </w:rPr>
      </w:pPr>
    </w:p>
    <w:p w:rsidR="008520B6" w:rsidRDefault="008520B6" w:rsidP="008520B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Evaluate the following statements if it is true, false, or uncertain.</w:t>
      </w:r>
    </w:p>
    <w:p w:rsidR="008520B6" w:rsidRDefault="008520B6" w:rsidP="008520B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An increase in the labor productivity will increase labor demand</w:t>
      </w:r>
      <w:r w:rsidR="00BD7C16">
        <w:rPr>
          <w:rFonts w:ascii="Times New Roman" w:hAnsi="Times New Roman" w:cs="Times New Roman"/>
          <w:sz w:val="24"/>
          <w:szCs w:val="24"/>
        </w:rPr>
        <w:t xml:space="preserve"> - true</w:t>
      </w:r>
    </w:p>
    <w:p w:rsidR="008520B6" w:rsidRDefault="008520B6" w:rsidP="008520B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When the price of capital falls, demand for labor will decline.</w:t>
      </w:r>
      <w:r w:rsidR="00BD7C16">
        <w:rPr>
          <w:rFonts w:ascii="Times New Roman" w:hAnsi="Times New Roman" w:cs="Times New Roman"/>
          <w:sz w:val="24"/>
          <w:szCs w:val="24"/>
        </w:rPr>
        <w:t xml:space="preserve"> - true</w:t>
      </w:r>
    </w:p>
    <w:p w:rsidR="008520B6" w:rsidRDefault="008520B6" w:rsidP="008520B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When the price of capital falls, demand for labor will increase.</w:t>
      </w:r>
      <w:r w:rsidR="00BD7C16">
        <w:rPr>
          <w:rFonts w:ascii="Times New Roman" w:hAnsi="Times New Roman" w:cs="Times New Roman"/>
          <w:sz w:val="24"/>
          <w:szCs w:val="24"/>
        </w:rPr>
        <w:t xml:space="preserve"> – false</w:t>
      </w:r>
    </w:p>
    <w:p w:rsidR="00BD7C16" w:rsidRPr="00BD7C16" w:rsidRDefault="00BD7C16" w:rsidP="00BD7C16">
      <w:pPr>
        <w:rPr>
          <w:rFonts w:ascii="Times New Roman" w:hAnsi="Times New Roman" w:cs="Times New Roman"/>
          <w:sz w:val="24"/>
          <w:szCs w:val="24"/>
        </w:rPr>
      </w:pPr>
    </w:p>
    <w:p w:rsidR="008520B6" w:rsidRDefault="008520B6" w:rsidP="008520B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Suppose the productivity of capital and labor are as shown in the accompanying table. The output of these factors sells in a perfectly competitive market for $1 per unit. Both capital and labor are hired under perfectly competitive conditions at $15 and $10, respectively.</w:t>
      </w:r>
    </w:p>
    <w:tbl>
      <w:tblPr>
        <w:tblStyle w:val="TableGrid"/>
        <w:tblW w:w="0" w:type="auto"/>
        <w:tblInd w:w="2160" w:type="dxa"/>
        <w:tblLook w:val="04A0" w:firstRow="1" w:lastRow="0" w:firstColumn="1" w:lastColumn="0" w:noHBand="0" w:noVBand="1"/>
      </w:tblPr>
      <w:tblGrid>
        <w:gridCol w:w="2335"/>
      </w:tblGrid>
      <w:tr w:rsidR="00BD7C16" w:rsidTr="00BD7C16">
        <w:tc>
          <w:tcPr>
            <w:tcW w:w="2178" w:type="dxa"/>
          </w:tcPr>
          <w:tbl>
            <w:tblPr>
              <w:tblW w:w="2119" w:type="dxa"/>
              <w:tblBorders>
                <w:top w:val="nil"/>
                <w:left w:val="nil"/>
                <w:bottom w:val="nil"/>
                <w:right w:val="nil"/>
              </w:tblBorders>
              <w:tblLook w:val="0000" w:firstRow="0" w:lastRow="0" w:firstColumn="0" w:lastColumn="0" w:noHBand="0" w:noVBand="0"/>
            </w:tblPr>
            <w:tblGrid>
              <w:gridCol w:w="341"/>
              <w:gridCol w:w="633"/>
              <w:gridCol w:w="222"/>
              <w:gridCol w:w="327"/>
              <w:gridCol w:w="596"/>
            </w:tblGrid>
            <w:tr w:rsidR="00BD7C16" w:rsidTr="00BD7C16">
              <w:trPr>
                <w:trHeight w:val="95"/>
              </w:trPr>
              <w:tc>
                <w:tcPr>
                  <w:tcW w:w="0" w:type="auto"/>
                  <w:tcBorders>
                    <w:bottom w:val="single" w:sz="4" w:space="0" w:color="auto"/>
                    <w:right w:val="single" w:sz="4" w:space="0" w:color="auto"/>
                  </w:tcBorders>
                </w:tcPr>
                <w:p w:rsidR="00BD7C16" w:rsidRDefault="00BD7C16">
                  <w:pPr>
                    <w:pStyle w:val="Default"/>
                    <w:rPr>
                      <w:sz w:val="20"/>
                      <w:szCs w:val="20"/>
                    </w:rPr>
                  </w:pPr>
                  <w:r>
                    <w:rPr>
                      <w:b/>
                      <w:bCs/>
                      <w:sz w:val="20"/>
                      <w:szCs w:val="20"/>
                    </w:rPr>
                    <w:t xml:space="preserve">K </w:t>
                  </w:r>
                </w:p>
              </w:tc>
              <w:tc>
                <w:tcPr>
                  <w:tcW w:w="633" w:type="dxa"/>
                  <w:tcBorders>
                    <w:left w:val="single" w:sz="4" w:space="0" w:color="auto"/>
                    <w:bottom w:val="single" w:sz="4" w:space="0" w:color="auto"/>
                  </w:tcBorders>
                </w:tcPr>
                <w:p w:rsidR="00BD7C16" w:rsidRDefault="00BD7C16">
                  <w:pPr>
                    <w:pStyle w:val="Default"/>
                    <w:rPr>
                      <w:sz w:val="20"/>
                      <w:szCs w:val="20"/>
                    </w:rPr>
                  </w:pPr>
                  <w:r>
                    <w:rPr>
                      <w:b/>
                      <w:bCs/>
                      <w:sz w:val="20"/>
                      <w:szCs w:val="20"/>
                    </w:rPr>
                    <w:t>MPK</w:t>
                  </w:r>
                </w:p>
              </w:tc>
              <w:tc>
                <w:tcPr>
                  <w:tcW w:w="222" w:type="dxa"/>
                  <w:tcBorders>
                    <w:left w:val="single" w:sz="4" w:space="0" w:color="auto"/>
                    <w:bottom w:val="single" w:sz="4" w:space="0" w:color="auto"/>
                  </w:tcBorders>
                </w:tcPr>
                <w:p w:rsidR="00BD7C16" w:rsidRDefault="00BD7C16" w:rsidP="00BD7C16">
                  <w:pPr>
                    <w:pStyle w:val="Default"/>
                    <w:rPr>
                      <w:sz w:val="20"/>
                      <w:szCs w:val="20"/>
                    </w:rPr>
                  </w:pPr>
                </w:p>
              </w:tc>
              <w:tc>
                <w:tcPr>
                  <w:tcW w:w="0" w:type="auto"/>
                  <w:tcBorders>
                    <w:bottom w:val="single" w:sz="4" w:space="0" w:color="auto"/>
                    <w:right w:val="single" w:sz="4" w:space="0" w:color="auto"/>
                  </w:tcBorders>
                </w:tcPr>
                <w:p w:rsidR="00BD7C16" w:rsidRDefault="00BD7C16">
                  <w:pPr>
                    <w:pStyle w:val="Default"/>
                    <w:rPr>
                      <w:sz w:val="20"/>
                      <w:szCs w:val="20"/>
                    </w:rPr>
                  </w:pPr>
                  <w:r>
                    <w:rPr>
                      <w:b/>
                      <w:bCs/>
                      <w:sz w:val="20"/>
                      <w:szCs w:val="20"/>
                    </w:rPr>
                    <w:t xml:space="preserve">L </w:t>
                  </w:r>
                </w:p>
              </w:tc>
              <w:tc>
                <w:tcPr>
                  <w:tcW w:w="0" w:type="auto"/>
                  <w:tcBorders>
                    <w:left w:val="single" w:sz="4" w:space="0" w:color="auto"/>
                    <w:bottom w:val="single" w:sz="4" w:space="0" w:color="auto"/>
                  </w:tcBorders>
                </w:tcPr>
                <w:p w:rsidR="00BD7C16" w:rsidRDefault="00BD7C16">
                  <w:pPr>
                    <w:pStyle w:val="Default"/>
                    <w:rPr>
                      <w:sz w:val="20"/>
                      <w:szCs w:val="20"/>
                    </w:rPr>
                  </w:pPr>
                  <w:r>
                    <w:rPr>
                      <w:b/>
                      <w:bCs/>
                      <w:sz w:val="20"/>
                      <w:szCs w:val="20"/>
                    </w:rPr>
                    <w:t xml:space="preserve">MPL </w:t>
                  </w:r>
                </w:p>
              </w:tc>
            </w:tr>
            <w:tr w:rsidR="00BD7C16" w:rsidTr="00BD7C16">
              <w:trPr>
                <w:trHeight w:val="95"/>
              </w:trPr>
              <w:tc>
                <w:tcPr>
                  <w:tcW w:w="341" w:type="dxa"/>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0 </w:t>
                  </w:r>
                </w:p>
              </w:tc>
              <w:tc>
                <w:tcPr>
                  <w:tcW w:w="633"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c>
                <w:tcPr>
                  <w:tcW w:w="222"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c>
                <w:tcPr>
                  <w:tcW w:w="326" w:type="dxa"/>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0 </w:t>
                  </w:r>
                </w:p>
              </w:tc>
              <w:tc>
                <w:tcPr>
                  <w:tcW w:w="597"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r>
            <w:tr w:rsidR="00BD7C16" w:rsidTr="00BD7C16">
              <w:trPr>
                <w:trHeight w:val="95"/>
              </w:trPr>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1 </w:t>
                  </w:r>
                </w:p>
              </w:tc>
              <w:tc>
                <w:tcPr>
                  <w:tcW w:w="633" w:type="dxa"/>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30 </w:t>
                  </w:r>
                </w:p>
              </w:tc>
              <w:tc>
                <w:tcPr>
                  <w:tcW w:w="222"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1 </w:t>
                  </w:r>
                </w:p>
              </w:tc>
              <w:tc>
                <w:tcPr>
                  <w:tcW w:w="0" w:type="auto"/>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21 </w:t>
                  </w:r>
                </w:p>
              </w:tc>
            </w:tr>
            <w:tr w:rsidR="00BD7C16" w:rsidTr="00BD7C16">
              <w:trPr>
                <w:trHeight w:val="95"/>
              </w:trPr>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2 </w:t>
                  </w:r>
                </w:p>
              </w:tc>
              <w:tc>
                <w:tcPr>
                  <w:tcW w:w="633" w:type="dxa"/>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27 </w:t>
                  </w:r>
                </w:p>
              </w:tc>
              <w:tc>
                <w:tcPr>
                  <w:tcW w:w="222"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2 </w:t>
                  </w:r>
                </w:p>
              </w:tc>
              <w:tc>
                <w:tcPr>
                  <w:tcW w:w="0" w:type="auto"/>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18 </w:t>
                  </w:r>
                </w:p>
              </w:tc>
            </w:tr>
            <w:tr w:rsidR="00BD7C16" w:rsidTr="00BD7C16">
              <w:trPr>
                <w:trHeight w:val="95"/>
              </w:trPr>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3 </w:t>
                  </w:r>
                </w:p>
              </w:tc>
              <w:tc>
                <w:tcPr>
                  <w:tcW w:w="633" w:type="dxa"/>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24 </w:t>
                  </w:r>
                </w:p>
              </w:tc>
              <w:tc>
                <w:tcPr>
                  <w:tcW w:w="222"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3 </w:t>
                  </w:r>
                </w:p>
              </w:tc>
              <w:tc>
                <w:tcPr>
                  <w:tcW w:w="0" w:type="auto"/>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15 </w:t>
                  </w:r>
                </w:p>
              </w:tc>
            </w:tr>
            <w:tr w:rsidR="00BD7C16" w:rsidTr="00BD7C16">
              <w:trPr>
                <w:trHeight w:val="95"/>
              </w:trPr>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4 </w:t>
                  </w:r>
                </w:p>
              </w:tc>
              <w:tc>
                <w:tcPr>
                  <w:tcW w:w="633" w:type="dxa"/>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21 </w:t>
                  </w:r>
                </w:p>
              </w:tc>
              <w:tc>
                <w:tcPr>
                  <w:tcW w:w="222"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4 </w:t>
                  </w:r>
                </w:p>
              </w:tc>
              <w:tc>
                <w:tcPr>
                  <w:tcW w:w="0" w:type="auto"/>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12 </w:t>
                  </w:r>
                </w:p>
              </w:tc>
            </w:tr>
            <w:tr w:rsidR="00BD7C16" w:rsidTr="00BD7C16">
              <w:trPr>
                <w:trHeight w:val="95"/>
              </w:trPr>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5 </w:t>
                  </w:r>
                </w:p>
              </w:tc>
              <w:tc>
                <w:tcPr>
                  <w:tcW w:w="633" w:type="dxa"/>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18 </w:t>
                  </w:r>
                </w:p>
              </w:tc>
              <w:tc>
                <w:tcPr>
                  <w:tcW w:w="222"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5 </w:t>
                  </w:r>
                </w:p>
              </w:tc>
              <w:tc>
                <w:tcPr>
                  <w:tcW w:w="0" w:type="auto"/>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9 </w:t>
                  </w:r>
                </w:p>
              </w:tc>
            </w:tr>
            <w:tr w:rsidR="00BD7C16" w:rsidTr="00BD7C16">
              <w:trPr>
                <w:trHeight w:val="95"/>
              </w:trPr>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6 </w:t>
                  </w:r>
                </w:p>
              </w:tc>
              <w:tc>
                <w:tcPr>
                  <w:tcW w:w="633" w:type="dxa"/>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15 </w:t>
                  </w:r>
                </w:p>
              </w:tc>
              <w:tc>
                <w:tcPr>
                  <w:tcW w:w="222"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6 </w:t>
                  </w:r>
                </w:p>
              </w:tc>
              <w:tc>
                <w:tcPr>
                  <w:tcW w:w="0" w:type="auto"/>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6 </w:t>
                  </w:r>
                </w:p>
              </w:tc>
            </w:tr>
            <w:tr w:rsidR="00BD7C16" w:rsidTr="00BD7C16">
              <w:trPr>
                <w:trHeight w:val="95"/>
              </w:trPr>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7 </w:t>
                  </w:r>
                </w:p>
              </w:tc>
              <w:tc>
                <w:tcPr>
                  <w:tcW w:w="633" w:type="dxa"/>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12 </w:t>
                  </w:r>
                </w:p>
              </w:tc>
              <w:tc>
                <w:tcPr>
                  <w:tcW w:w="222"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7 </w:t>
                  </w:r>
                </w:p>
              </w:tc>
              <w:tc>
                <w:tcPr>
                  <w:tcW w:w="0" w:type="auto"/>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3 </w:t>
                  </w:r>
                </w:p>
              </w:tc>
            </w:tr>
            <w:tr w:rsidR="00BD7C16" w:rsidTr="00BD7C16">
              <w:trPr>
                <w:trHeight w:val="95"/>
              </w:trPr>
              <w:tc>
                <w:tcPr>
                  <w:tcW w:w="0" w:type="auto"/>
                  <w:tcBorders>
                    <w:top w:val="single" w:sz="4" w:space="0" w:color="auto"/>
                    <w:right w:val="single" w:sz="4" w:space="0" w:color="auto"/>
                  </w:tcBorders>
                </w:tcPr>
                <w:p w:rsidR="00BD7C16" w:rsidRDefault="00BD7C16">
                  <w:pPr>
                    <w:pStyle w:val="Default"/>
                    <w:rPr>
                      <w:sz w:val="20"/>
                      <w:szCs w:val="20"/>
                    </w:rPr>
                  </w:pPr>
                  <w:r>
                    <w:rPr>
                      <w:sz w:val="20"/>
                      <w:szCs w:val="20"/>
                    </w:rPr>
                    <w:t xml:space="preserve">8 </w:t>
                  </w:r>
                </w:p>
              </w:tc>
              <w:tc>
                <w:tcPr>
                  <w:tcW w:w="633" w:type="dxa"/>
                  <w:tcBorders>
                    <w:top w:val="single" w:sz="4" w:space="0" w:color="auto"/>
                    <w:left w:val="single" w:sz="4" w:space="0" w:color="auto"/>
                  </w:tcBorders>
                </w:tcPr>
                <w:p w:rsidR="00BD7C16" w:rsidRDefault="00BD7C16">
                  <w:pPr>
                    <w:pStyle w:val="Default"/>
                    <w:rPr>
                      <w:sz w:val="20"/>
                      <w:szCs w:val="20"/>
                    </w:rPr>
                  </w:pPr>
                  <w:r>
                    <w:rPr>
                      <w:sz w:val="20"/>
                      <w:szCs w:val="20"/>
                    </w:rPr>
                    <w:t xml:space="preserve">9 </w:t>
                  </w:r>
                </w:p>
              </w:tc>
              <w:tc>
                <w:tcPr>
                  <w:tcW w:w="222" w:type="dxa"/>
                  <w:tcBorders>
                    <w:top w:val="single" w:sz="4" w:space="0" w:color="auto"/>
                    <w:left w:val="single" w:sz="4" w:space="0" w:color="auto"/>
                  </w:tcBorders>
                </w:tcPr>
                <w:p w:rsidR="00BD7C16" w:rsidRDefault="00BD7C16" w:rsidP="00BD7C16">
                  <w:pPr>
                    <w:pStyle w:val="Default"/>
                    <w:rPr>
                      <w:sz w:val="20"/>
                      <w:szCs w:val="20"/>
                    </w:rPr>
                  </w:pPr>
                </w:p>
              </w:tc>
              <w:tc>
                <w:tcPr>
                  <w:tcW w:w="0" w:type="auto"/>
                  <w:tcBorders>
                    <w:top w:val="single" w:sz="4" w:space="0" w:color="auto"/>
                    <w:right w:val="single" w:sz="4" w:space="0" w:color="auto"/>
                  </w:tcBorders>
                </w:tcPr>
                <w:p w:rsidR="00BD7C16" w:rsidRDefault="00BD7C16">
                  <w:pPr>
                    <w:pStyle w:val="Default"/>
                    <w:rPr>
                      <w:sz w:val="20"/>
                      <w:szCs w:val="20"/>
                    </w:rPr>
                  </w:pPr>
                  <w:r>
                    <w:rPr>
                      <w:sz w:val="20"/>
                      <w:szCs w:val="20"/>
                    </w:rPr>
                    <w:t xml:space="preserve">8 </w:t>
                  </w:r>
                </w:p>
              </w:tc>
              <w:tc>
                <w:tcPr>
                  <w:tcW w:w="0" w:type="auto"/>
                  <w:tcBorders>
                    <w:top w:val="single" w:sz="4" w:space="0" w:color="auto"/>
                    <w:left w:val="single" w:sz="4" w:space="0" w:color="auto"/>
                  </w:tcBorders>
                </w:tcPr>
                <w:p w:rsidR="00BD7C16" w:rsidRDefault="00BD7C16">
                  <w:pPr>
                    <w:pStyle w:val="Default"/>
                    <w:rPr>
                      <w:sz w:val="20"/>
                      <w:szCs w:val="20"/>
                    </w:rPr>
                  </w:pPr>
                  <w:r>
                    <w:rPr>
                      <w:sz w:val="20"/>
                      <w:szCs w:val="20"/>
                    </w:rPr>
                    <w:t xml:space="preserve">1 </w:t>
                  </w:r>
                </w:p>
              </w:tc>
            </w:tr>
          </w:tbl>
          <w:p w:rsidR="00BD7C16" w:rsidRDefault="00BD7C16" w:rsidP="00BD7C16">
            <w:pPr>
              <w:rPr>
                <w:rFonts w:ascii="Times New Roman" w:hAnsi="Times New Roman" w:cs="Times New Roman"/>
                <w:sz w:val="24"/>
                <w:szCs w:val="24"/>
              </w:rPr>
            </w:pPr>
          </w:p>
        </w:tc>
      </w:tr>
    </w:tbl>
    <w:p w:rsidR="00BD7C16" w:rsidRPr="00BD7C16" w:rsidRDefault="00BD7C16" w:rsidP="00BD7C16">
      <w:pPr>
        <w:rPr>
          <w:rFonts w:ascii="Times New Roman" w:hAnsi="Times New Roman" w:cs="Times New Roman"/>
          <w:sz w:val="24"/>
          <w:szCs w:val="24"/>
        </w:rPr>
      </w:pPr>
    </w:p>
    <w:p w:rsidR="008520B6" w:rsidRDefault="008520B6" w:rsidP="008520B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What is the least-cost combination and capital the firm should </w:t>
      </w:r>
      <w:proofErr w:type="gramStart"/>
      <w:r>
        <w:rPr>
          <w:rFonts w:ascii="Times New Roman" w:hAnsi="Times New Roman" w:cs="Times New Roman"/>
          <w:sz w:val="24"/>
          <w:szCs w:val="24"/>
        </w:rPr>
        <w:t>employ  in</w:t>
      </w:r>
      <w:proofErr w:type="gramEnd"/>
      <w:r>
        <w:rPr>
          <w:rFonts w:ascii="Times New Roman" w:hAnsi="Times New Roman" w:cs="Times New Roman"/>
          <w:sz w:val="24"/>
          <w:szCs w:val="24"/>
        </w:rPr>
        <w:t xml:space="preserve"> producing 96 units of output? Explain.</w:t>
      </w:r>
    </w:p>
    <w:p w:rsidR="008520B6" w:rsidRDefault="008520B6" w:rsidP="008520B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What is the resulting level of output? What is the economic profit?</w:t>
      </w:r>
    </w:p>
    <w:p w:rsidR="008B6C5E" w:rsidRDefault="008B6C5E" w:rsidP="008B6C5E">
      <w:pPr>
        <w:rPr>
          <w:rFonts w:ascii="Times New Roman" w:hAnsi="Times New Roman" w:cs="Times New Roman"/>
          <w:sz w:val="24"/>
          <w:szCs w:val="24"/>
        </w:rPr>
      </w:pPr>
    </w:p>
    <w:p w:rsidR="008B6C5E" w:rsidRPr="008B6C5E" w:rsidRDefault="008B6C5E" w:rsidP="008B6C5E">
      <w:pPr>
        <w:rPr>
          <w:rFonts w:ascii="Times New Roman" w:hAnsi="Times New Roman" w:cs="Times New Roman"/>
          <w:sz w:val="24"/>
          <w:szCs w:val="24"/>
        </w:rPr>
      </w:pPr>
    </w:p>
    <w:p w:rsidR="008520B6" w:rsidRDefault="008520B6" w:rsidP="008520B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Assume a market of perfect competition that is faced with the demand schedule and cost data shown below.</w:t>
      </w:r>
    </w:p>
    <w:tbl>
      <w:tblPr>
        <w:tblStyle w:val="TableGrid"/>
        <w:tblW w:w="0" w:type="auto"/>
        <w:tblInd w:w="1548" w:type="dxa"/>
        <w:tblLook w:val="04A0" w:firstRow="1" w:lastRow="0" w:firstColumn="1" w:lastColumn="0" w:noHBand="0" w:noVBand="1"/>
      </w:tblPr>
      <w:tblGrid>
        <w:gridCol w:w="1781"/>
      </w:tblGrid>
      <w:tr w:rsidR="00BD7C16" w:rsidTr="00E30BDA">
        <w:trPr>
          <w:trHeight w:val="887"/>
        </w:trPr>
        <w:tc>
          <w:tcPr>
            <w:tcW w:w="1663" w:type="dxa"/>
          </w:tcPr>
          <w:tbl>
            <w:tblPr>
              <w:tblW w:w="1555" w:type="dxa"/>
              <w:tblBorders>
                <w:top w:val="nil"/>
                <w:left w:val="nil"/>
                <w:bottom w:val="nil"/>
                <w:right w:val="nil"/>
              </w:tblBorders>
              <w:tblLook w:val="0000" w:firstRow="0" w:lastRow="0" w:firstColumn="0" w:lastColumn="0" w:noHBand="0" w:noVBand="0"/>
            </w:tblPr>
            <w:tblGrid>
              <w:gridCol w:w="401"/>
              <w:gridCol w:w="582"/>
              <w:gridCol w:w="582"/>
            </w:tblGrid>
            <w:tr w:rsidR="00BD7C16" w:rsidRPr="00BD7C16" w:rsidTr="00E30BDA">
              <w:trPr>
                <w:trHeight w:val="105"/>
              </w:trPr>
              <w:tc>
                <w:tcPr>
                  <w:tcW w:w="0" w:type="auto"/>
                  <w:tcBorders>
                    <w:bottom w:val="single" w:sz="4" w:space="0" w:color="auto"/>
                    <w:right w:val="single" w:sz="4" w:space="0" w:color="auto"/>
                  </w:tcBorders>
                </w:tcPr>
                <w:p w:rsidR="00BD7C16" w:rsidRDefault="00BD7C16">
                  <w:pPr>
                    <w:pStyle w:val="Default"/>
                    <w:rPr>
                      <w:sz w:val="22"/>
                      <w:szCs w:val="22"/>
                    </w:rPr>
                  </w:pPr>
                  <w:r>
                    <w:rPr>
                      <w:b/>
                      <w:bCs/>
                      <w:sz w:val="22"/>
                      <w:szCs w:val="22"/>
                    </w:rPr>
                    <w:t xml:space="preserve">Q </w:t>
                  </w:r>
                </w:p>
              </w:tc>
              <w:tc>
                <w:tcPr>
                  <w:tcW w:w="0" w:type="auto"/>
                  <w:tcBorders>
                    <w:left w:val="single" w:sz="4" w:space="0" w:color="auto"/>
                    <w:bottom w:val="single" w:sz="4" w:space="0" w:color="auto"/>
                    <w:right w:val="single" w:sz="4" w:space="0" w:color="auto"/>
                  </w:tcBorders>
                </w:tcPr>
                <w:p w:rsidR="00BD7C16" w:rsidRDefault="00BD7C16">
                  <w:pPr>
                    <w:pStyle w:val="Default"/>
                    <w:rPr>
                      <w:sz w:val="22"/>
                      <w:szCs w:val="22"/>
                    </w:rPr>
                  </w:pPr>
                  <w:r>
                    <w:rPr>
                      <w:b/>
                      <w:bCs/>
                      <w:sz w:val="22"/>
                      <w:szCs w:val="22"/>
                    </w:rPr>
                    <w:t xml:space="preserve">P </w:t>
                  </w:r>
                </w:p>
              </w:tc>
              <w:tc>
                <w:tcPr>
                  <w:tcW w:w="0" w:type="auto"/>
                  <w:tcBorders>
                    <w:left w:val="single" w:sz="4" w:space="0" w:color="auto"/>
                    <w:bottom w:val="single" w:sz="4" w:space="0" w:color="auto"/>
                  </w:tcBorders>
                </w:tcPr>
                <w:p w:rsidR="00BD7C16" w:rsidRDefault="00BD7C16">
                  <w:pPr>
                    <w:pStyle w:val="Default"/>
                    <w:rPr>
                      <w:sz w:val="22"/>
                      <w:szCs w:val="22"/>
                    </w:rPr>
                  </w:pPr>
                  <w:r>
                    <w:rPr>
                      <w:b/>
                      <w:bCs/>
                      <w:sz w:val="22"/>
                      <w:szCs w:val="22"/>
                    </w:rPr>
                    <w:t xml:space="preserve">TC </w:t>
                  </w:r>
                </w:p>
              </w:tc>
            </w:tr>
            <w:tr w:rsidR="00BD7C16" w:rsidRPr="00BD7C16" w:rsidTr="00E30BDA">
              <w:trPr>
                <w:trHeight w:val="105"/>
              </w:trPr>
              <w:tc>
                <w:tcPr>
                  <w:tcW w:w="0" w:type="auto"/>
                  <w:tcBorders>
                    <w:top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1 </w:t>
                  </w:r>
                </w:p>
              </w:tc>
              <w:tc>
                <w:tcPr>
                  <w:tcW w:w="0" w:type="auto"/>
                  <w:tcBorders>
                    <w:top w:val="single" w:sz="4" w:space="0" w:color="auto"/>
                    <w:left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120 </w:t>
                  </w:r>
                </w:p>
              </w:tc>
              <w:tc>
                <w:tcPr>
                  <w:tcW w:w="0" w:type="auto"/>
                  <w:tcBorders>
                    <w:top w:val="single" w:sz="4" w:space="0" w:color="auto"/>
                    <w:left w:val="single" w:sz="4" w:space="0" w:color="auto"/>
                    <w:bottom w:val="single" w:sz="4" w:space="0" w:color="auto"/>
                  </w:tcBorders>
                </w:tcPr>
                <w:p w:rsidR="00BD7C16" w:rsidRDefault="00BD7C16">
                  <w:pPr>
                    <w:pStyle w:val="Default"/>
                    <w:rPr>
                      <w:sz w:val="22"/>
                      <w:szCs w:val="22"/>
                    </w:rPr>
                  </w:pPr>
                  <w:r>
                    <w:rPr>
                      <w:sz w:val="22"/>
                      <w:szCs w:val="22"/>
                    </w:rPr>
                    <w:t xml:space="preserve">50 </w:t>
                  </w:r>
                </w:p>
              </w:tc>
            </w:tr>
            <w:tr w:rsidR="00BD7C16" w:rsidRPr="00BD7C16" w:rsidTr="00E30BDA">
              <w:trPr>
                <w:trHeight w:val="105"/>
              </w:trPr>
              <w:tc>
                <w:tcPr>
                  <w:tcW w:w="0" w:type="auto"/>
                  <w:tcBorders>
                    <w:top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2 </w:t>
                  </w:r>
                </w:p>
              </w:tc>
              <w:tc>
                <w:tcPr>
                  <w:tcW w:w="0" w:type="auto"/>
                  <w:tcBorders>
                    <w:top w:val="single" w:sz="4" w:space="0" w:color="auto"/>
                    <w:left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110 </w:t>
                  </w:r>
                </w:p>
              </w:tc>
              <w:tc>
                <w:tcPr>
                  <w:tcW w:w="0" w:type="auto"/>
                  <w:tcBorders>
                    <w:top w:val="single" w:sz="4" w:space="0" w:color="auto"/>
                    <w:left w:val="single" w:sz="4" w:space="0" w:color="auto"/>
                    <w:bottom w:val="single" w:sz="4" w:space="0" w:color="auto"/>
                  </w:tcBorders>
                </w:tcPr>
                <w:p w:rsidR="00BD7C16" w:rsidRDefault="00BD7C16">
                  <w:pPr>
                    <w:pStyle w:val="Default"/>
                    <w:rPr>
                      <w:sz w:val="22"/>
                      <w:szCs w:val="22"/>
                    </w:rPr>
                  </w:pPr>
                  <w:r>
                    <w:rPr>
                      <w:sz w:val="22"/>
                      <w:szCs w:val="22"/>
                    </w:rPr>
                    <w:t xml:space="preserve">75 </w:t>
                  </w:r>
                </w:p>
              </w:tc>
            </w:tr>
            <w:tr w:rsidR="00BD7C16" w:rsidRPr="00BD7C16" w:rsidTr="00E30BDA">
              <w:trPr>
                <w:trHeight w:val="105"/>
              </w:trPr>
              <w:tc>
                <w:tcPr>
                  <w:tcW w:w="0" w:type="auto"/>
                  <w:tcBorders>
                    <w:top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3 </w:t>
                  </w:r>
                </w:p>
              </w:tc>
              <w:tc>
                <w:tcPr>
                  <w:tcW w:w="0" w:type="auto"/>
                  <w:tcBorders>
                    <w:top w:val="single" w:sz="4" w:space="0" w:color="auto"/>
                    <w:left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100 </w:t>
                  </w:r>
                </w:p>
              </w:tc>
              <w:tc>
                <w:tcPr>
                  <w:tcW w:w="0" w:type="auto"/>
                  <w:tcBorders>
                    <w:top w:val="single" w:sz="4" w:space="0" w:color="auto"/>
                    <w:left w:val="single" w:sz="4" w:space="0" w:color="auto"/>
                    <w:bottom w:val="single" w:sz="4" w:space="0" w:color="auto"/>
                  </w:tcBorders>
                </w:tcPr>
                <w:p w:rsidR="00BD7C16" w:rsidRDefault="00BD7C16">
                  <w:pPr>
                    <w:pStyle w:val="Default"/>
                    <w:rPr>
                      <w:sz w:val="22"/>
                      <w:szCs w:val="22"/>
                    </w:rPr>
                  </w:pPr>
                  <w:r>
                    <w:rPr>
                      <w:sz w:val="22"/>
                      <w:szCs w:val="22"/>
                    </w:rPr>
                    <w:t xml:space="preserve">100 </w:t>
                  </w:r>
                </w:p>
              </w:tc>
            </w:tr>
            <w:tr w:rsidR="00BD7C16" w:rsidRPr="00BD7C16" w:rsidTr="00E30BDA">
              <w:trPr>
                <w:trHeight w:val="105"/>
              </w:trPr>
              <w:tc>
                <w:tcPr>
                  <w:tcW w:w="0" w:type="auto"/>
                  <w:tcBorders>
                    <w:top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4 </w:t>
                  </w:r>
                </w:p>
              </w:tc>
              <w:tc>
                <w:tcPr>
                  <w:tcW w:w="0" w:type="auto"/>
                  <w:tcBorders>
                    <w:top w:val="single" w:sz="4" w:space="0" w:color="auto"/>
                    <w:left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90 </w:t>
                  </w:r>
                </w:p>
              </w:tc>
              <w:tc>
                <w:tcPr>
                  <w:tcW w:w="0" w:type="auto"/>
                  <w:tcBorders>
                    <w:top w:val="single" w:sz="4" w:space="0" w:color="auto"/>
                    <w:left w:val="single" w:sz="4" w:space="0" w:color="auto"/>
                    <w:bottom w:val="single" w:sz="4" w:space="0" w:color="auto"/>
                  </w:tcBorders>
                </w:tcPr>
                <w:p w:rsidR="00BD7C16" w:rsidRDefault="00BD7C16">
                  <w:pPr>
                    <w:pStyle w:val="Default"/>
                    <w:rPr>
                      <w:sz w:val="22"/>
                      <w:szCs w:val="22"/>
                    </w:rPr>
                  </w:pPr>
                  <w:r>
                    <w:rPr>
                      <w:sz w:val="22"/>
                      <w:szCs w:val="22"/>
                    </w:rPr>
                    <w:t xml:space="preserve">128 </w:t>
                  </w:r>
                </w:p>
              </w:tc>
            </w:tr>
            <w:tr w:rsidR="00BD7C16" w:rsidRPr="00BD7C16" w:rsidTr="00E30BDA">
              <w:trPr>
                <w:trHeight w:val="105"/>
              </w:trPr>
              <w:tc>
                <w:tcPr>
                  <w:tcW w:w="0" w:type="auto"/>
                  <w:tcBorders>
                    <w:top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5 </w:t>
                  </w:r>
                </w:p>
              </w:tc>
              <w:tc>
                <w:tcPr>
                  <w:tcW w:w="0" w:type="auto"/>
                  <w:tcBorders>
                    <w:top w:val="single" w:sz="4" w:space="0" w:color="auto"/>
                    <w:left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80 </w:t>
                  </w:r>
                </w:p>
              </w:tc>
              <w:tc>
                <w:tcPr>
                  <w:tcW w:w="0" w:type="auto"/>
                  <w:tcBorders>
                    <w:top w:val="single" w:sz="4" w:space="0" w:color="auto"/>
                    <w:left w:val="single" w:sz="4" w:space="0" w:color="auto"/>
                    <w:bottom w:val="single" w:sz="4" w:space="0" w:color="auto"/>
                  </w:tcBorders>
                </w:tcPr>
                <w:p w:rsidR="00BD7C16" w:rsidRDefault="00BD7C16">
                  <w:pPr>
                    <w:pStyle w:val="Default"/>
                    <w:rPr>
                      <w:sz w:val="22"/>
                      <w:szCs w:val="22"/>
                    </w:rPr>
                  </w:pPr>
                  <w:r>
                    <w:rPr>
                      <w:sz w:val="22"/>
                      <w:szCs w:val="22"/>
                    </w:rPr>
                    <w:t xml:space="preserve">165 </w:t>
                  </w:r>
                </w:p>
              </w:tc>
            </w:tr>
            <w:tr w:rsidR="00BD7C16" w:rsidRPr="00BD7C16" w:rsidTr="00E30BDA">
              <w:trPr>
                <w:trHeight w:val="105"/>
              </w:trPr>
              <w:tc>
                <w:tcPr>
                  <w:tcW w:w="0" w:type="auto"/>
                  <w:tcBorders>
                    <w:top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6 </w:t>
                  </w:r>
                </w:p>
              </w:tc>
              <w:tc>
                <w:tcPr>
                  <w:tcW w:w="0" w:type="auto"/>
                  <w:tcBorders>
                    <w:top w:val="single" w:sz="4" w:space="0" w:color="auto"/>
                    <w:left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70 </w:t>
                  </w:r>
                </w:p>
              </w:tc>
              <w:tc>
                <w:tcPr>
                  <w:tcW w:w="0" w:type="auto"/>
                  <w:tcBorders>
                    <w:top w:val="single" w:sz="4" w:space="0" w:color="auto"/>
                    <w:left w:val="single" w:sz="4" w:space="0" w:color="auto"/>
                    <w:bottom w:val="single" w:sz="4" w:space="0" w:color="auto"/>
                  </w:tcBorders>
                </w:tcPr>
                <w:p w:rsidR="00BD7C16" w:rsidRDefault="00BD7C16">
                  <w:pPr>
                    <w:pStyle w:val="Default"/>
                    <w:rPr>
                      <w:sz w:val="22"/>
                      <w:szCs w:val="22"/>
                    </w:rPr>
                  </w:pPr>
                  <w:r>
                    <w:rPr>
                      <w:sz w:val="22"/>
                      <w:szCs w:val="22"/>
                    </w:rPr>
                    <w:t xml:space="preserve">205 </w:t>
                  </w:r>
                </w:p>
              </w:tc>
            </w:tr>
            <w:tr w:rsidR="00BD7C16" w:rsidRPr="00BD7C16" w:rsidTr="00E30BDA">
              <w:trPr>
                <w:trHeight w:val="105"/>
              </w:trPr>
              <w:tc>
                <w:tcPr>
                  <w:tcW w:w="0" w:type="auto"/>
                  <w:tcBorders>
                    <w:top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7 </w:t>
                  </w:r>
                </w:p>
              </w:tc>
              <w:tc>
                <w:tcPr>
                  <w:tcW w:w="0" w:type="auto"/>
                  <w:tcBorders>
                    <w:top w:val="single" w:sz="4" w:space="0" w:color="auto"/>
                    <w:left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60 </w:t>
                  </w:r>
                </w:p>
              </w:tc>
              <w:tc>
                <w:tcPr>
                  <w:tcW w:w="0" w:type="auto"/>
                  <w:tcBorders>
                    <w:top w:val="single" w:sz="4" w:space="0" w:color="auto"/>
                    <w:left w:val="single" w:sz="4" w:space="0" w:color="auto"/>
                    <w:bottom w:val="single" w:sz="4" w:space="0" w:color="auto"/>
                  </w:tcBorders>
                </w:tcPr>
                <w:p w:rsidR="00BD7C16" w:rsidRDefault="00BD7C16">
                  <w:pPr>
                    <w:pStyle w:val="Default"/>
                    <w:rPr>
                      <w:sz w:val="22"/>
                      <w:szCs w:val="22"/>
                    </w:rPr>
                  </w:pPr>
                  <w:r>
                    <w:rPr>
                      <w:sz w:val="22"/>
                      <w:szCs w:val="22"/>
                    </w:rPr>
                    <w:t xml:space="preserve">255 </w:t>
                  </w:r>
                </w:p>
              </w:tc>
            </w:tr>
            <w:tr w:rsidR="00BD7C16" w:rsidRPr="00BD7C16" w:rsidTr="00E30BDA">
              <w:trPr>
                <w:trHeight w:val="105"/>
              </w:trPr>
              <w:tc>
                <w:tcPr>
                  <w:tcW w:w="0" w:type="auto"/>
                  <w:tcBorders>
                    <w:top w:val="single" w:sz="4" w:space="0" w:color="auto"/>
                    <w:right w:val="single" w:sz="4" w:space="0" w:color="auto"/>
                  </w:tcBorders>
                </w:tcPr>
                <w:p w:rsidR="00BD7C16" w:rsidRDefault="00BD7C16">
                  <w:pPr>
                    <w:pStyle w:val="Default"/>
                    <w:rPr>
                      <w:sz w:val="22"/>
                      <w:szCs w:val="22"/>
                    </w:rPr>
                  </w:pPr>
                  <w:r>
                    <w:rPr>
                      <w:sz w:val="22"/>
                      <w:szCs w:val="22"/>
                    </w:rPr>
                    <w:t xml:space="preserve">8 </w:t>
                  </w:r>
                </w:p>
              </w:tc>
              <w:tc>
                <w:tcPr>
                  <w:tcW w:w="0" w:type="auto"/>
                  <w:tcBorders>
                    <w:top w:val="single" w:sz="4" w:space="0" w:color="auto"/>
                    <w:left w:val="single" w:sz="4" w:space="0" w:color="auto"/>
                    <w:right w:val="single" w:sz="4" w:space="0" w:color="auto"/>
                  </w:tcBorders>
                </w:tcPr>
                <w:p w:rsidR="00BD7C16" w:rsidRDefault="00BD7C16">
                  <w:pPr>
                    <w:pStyle w:val="Default"/>
                    <w:rPr>
                      <w:sz w:val="22"/>
                      <w:szCs w:val="22"/>
                    </w:rPr>
                  </w:pPr>
                  <w:r>
                    <w:rPr>
                      <w:sz w:val="22"/>
                      <w:szCs w:val="22"/>
                    </w:rPr>
                    <w:t xml:space="preserve">50 </w:t>
                  </w:r>
                </w:p>
              </w:tc>
              <w:tc>
                <w:tcPr>
                  <w:tcW w:w="0" w:type="auto"/>
                  <w:tcBorders>
                    <w:top w:val="single" w:sz="4" w:space="0" w:color="auto"/>
                    <w:left w:val="single" w:sz="4" w:space="0" w:color="auto"/>
                  </w:tcBorders>
                </w:tcPr>
                <w:p w:rsidR="00BD7C16" w:rsidRDefault="00BD7C16">
                  <w:pPr>
                    <w:pStyle w:val="Default"/>
                    <w:rPr>
                      <w:sz w:val="22"/>
                      <w:szCs w:val="22"/>
                    </w:rPr>
                  </w:pPr>
                  <w:r>
                    <w:rPr>
                      <w:sz w:val="22"/>
                      <w:szCs w:val="22"/>
                    </w:rPr>
                    <w:t xml:space="preserve">315 </w:t>
                  </w:r>
                </w:p>
              </w:tc>
            </w:tr>
          </w:tbl>
          <w:p w:rsidR="00BD7C16" w:rsidRDefault="00BD7C16" w:rsidP="00E30BDA">
            <w:pPr>
              <w:rPr>
                <w:rFonts w:ascii="Times New Roman" w:hAnsi="Times New Roman" w:cs="Times New Roman"/>
                <w:sz w:val="24"/>
                <w:szCs w:val="24"/>
              </w:rPr>
            </w:pPr>
          </w:p>
        </w:tc>
      </w:tr>
    </w:tbl>
    <w:p w:rsidR="00BD7C16" w:rsidRDefault="00BD7C16" w:rsidP="00BD7C16">
      <w:pPr>
        <w:ind w:left="2160"/>
        <w:rPr>
          <w:rFonts w:ascii="Times New Roman" w:hAnsi="Times New Roman" w:cs="Times New Roman"/>
          <w:sz w:val="24"/>
          <w:szCs w:val="24"/>
        </w:rPr>
      </w:pPr>
    </w:p>
    <w:p w:rsidR="00BD7C16" w:rsidRDefault="008B6C5E" w:rsidP="008B6C5E">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Draw a graph of market demand and supply</w:t>
      </w:r>
    </w:p>
    <w:p w:rsidR="008B6C5E" w:rsidRDefault="008B6C5E" w:rsidP="008B6C5E">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8B6C5E" w:rsidRDefault="008B6C5E" w:rsidP="008B6C5E">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Determine the profit-</w:t>
      </w:r>
      <w:proofErr w:type="spellStart"/>
      <w:r>
        <w:rPr>
          <w:rFonts w:ascii="Times New Roman" w:hAnsi="Times New Roman" w:cs="Times New Roman"/>
          <w:sz w:val="24"/>
          <w:szCs w:val="24"/>
        </w:rPr>
        <w:t>maximising</w:t>
      </w:r>
      <w:proofErr w:type="spellEnd"/>
      <w:r>
        <w:rPr>
          <w:rFonts w:ascii="Times New Roman" w:hAnsi="Times New Roman" w:cs="Times New Roman"/>
          <w:sz w:val="24"/>
          <w:szCs w:val="24"/>
        </w:rPr>
        <w:t xml:space="preserve"> price and profit-</w:t>
      </w:r>
      <w:proofErr w:type="spellStart"/>
      <w:r>
        <w:rPr>
          <w:rFonts w:ascii="Times New Roman" w:hAnsi="Times New Roman" w:cs="Times New Roman"/>
          <w:sz w:val="24"/>
          <w:szCs w:val="24"/>
        </w:rPr>
        <w:t>maximising</w:t>
      </w:r>
      <w:proofErr w:type="spellEnd"/>
      <w:r>
        <w:rPr>
          <w:rFonts w:ascii="Times New Roman" w:hAnsi="Times New Roman" w:cs="Times New Roman"/>
          <w:sz w:val="24"/>
          <w:szCs w:val="24"/>
        </w:rPr>
        <w:t xml:space="preserve"> output for this market</w:t>
      </w:r>
    </w:p>
    <w:p w:rsidR="008B6C5E" w:rsidRPr="008B6C5E" w:rsidRDefault="008B6C5E" w:rsidP="008B6C5E">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Verify you answer graphically </w:t>
      </w:r>
    </w:p>
    <w:p w:rsidR="00BD7C16" w:rsidRDefault="00BD7C16" w:rsidP="00BD7C16">
      <w:pPr>
        <w:rPr>
          <w:rFonts w:ascii="Times New Roman" w:hAnsi="Times New Roman" w:cs="Times New Roman"/>
          <w:sz w:val="24"/>
          <w:szCs w:val="24"/>
        </w:rPr>
      </w:pPr>
    </w:p>
    <w:p w:rsidR="00BD7C16" w:rsidRDefault="00BD7C16" w:rsidP="00BD7C16">
      <w:pPr>
        <w:rPr>
          <w:rFonts w:ascii="Times New Roman" w:hAnsi="Times New Roman" w:cs="Times New Roman"/>
          <w:sz w:val="24"/>
          <w:szCs w:val="24"/>
        </w:rPr>
      </w:pPr>
    </w:p>
    <w:p w:rsidR="00BD7C16" w:rsidRDefault="00BD7C16" w:rsidP="00BD7C16">
      <w:pPr>
        <w:rPr>
          <w:rFonts w:ascii="Times New Roman" w:hAnsi="Times New Roman" w:cs="Times New Roman"/>
          <w:sz w:val="24"/>
          <w:szCs w:val="24"/>
        </w:rPr>
      </w:pPr>
    </w:p>
    <w:p w:rsidR="00BD7C16" w:rsidRDefault="00BD7C16" w:rsidP="00BD7C16">
      <w:pPr>
        <w:rPr>
          <w:rFonts w:ascii="Times New Roman" w:hAnsi="Times New Roman" w:cs="Times New Roman"/>
          <w:sz w:val="24"/>
          <w:szCs w:val="24"/>
        </w:rPr>
      </w:pPr>
    </w:p>
    <w:p w:rsidR="00BD7C16" w:rsidRDefault="00BD7C16" w:rsidP="00BD7C16">
      <w:pPr>
        <w:rPr>
          <w:rFonts w:ascii="Times New Roman" w:hAnsi="Times New Roman" w:cs="Times New Roman"/>
          <w:sz w:val="24"/>
          <w:szCs w:val="24"/>
        </w:rPr>
      </w:pPr>
    </w:p>
    <w:p w:rsidR="008520B6" w:rsidRDefault="008520B6" w:rsidP="008520B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Continue from the previous question with the same demand and cost information.</w:t>
      </w:r>
    </w:p>
    <w:tbl>
      <w:tblPr>
        <w:tblStyle w:val="TableGrid"/>
        <w:tblW w:w="0" w:type="auto"/>
        <w:tblInd w:w="1548" w:type="dxa"/>
        <w:tblLook w:val="04A0" w:firstRow="1" w:lastRow="0" w:firstColumn="1" w:lastColumn="0" w:noHBand="0" w:noVBand="1"/>
      </w:tblPr>
      <w:tblGrid>
        <w:gridCol w:w="1771"/>
      </w:tblGrid>
      <w:tr w:rsidR="00BD7C16" w:rsidTr="00BD7C16">
        <w:trPr>
          <w:trHeight w:val="887"/>
        </w:trPr>
        <w:tc>
          <w:tcPr>
            <w:tcW w:w="1663" w:type="dxa"/>
          </w:tcPr>
          <w:tbl>
            <w:tblPr>
              <w:tblW w:w="1555" w:type="dxa"/>
              <w:tblBorders>
                <w:top w:val="nil"/>
                <w:left w:val="nil"/>
                <w:bottom w:val="nil"/>
                <w:right w:val="nil"/>
              </w:tblBorders>
              <w:tblLook w:val="0000" w:firstRow="0" w:lastRow="0" w:firstColumn="0" w:lastColumn="0" w:noHBand="0" w:noVBand="0"/>
            </w:tblPr>
            <w:tblGrid>
              <w:gridCol w:w="403"/>
              <w:gridCol w:w="576"/>
              <w:gridCol w:w="576"/>
            </w:tblGrid>
            <w:tr w:rsidR="00BD7C16" w:rsidRPr="00BD7C16" w:rsidTr="00BD7C16">
              <w:trPr>
                <w:trHeight w:val="105"/>
              </w:trPr>
              <w:tc>
                <w:tcPr>
                  <w:tcW w:w="0" w:type="auto"/>
                  <w:tcBorders>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b/>
                      <w:bCs/>
                      <w:sz w:val="24"/>
                      <w:szCs w:val="24"/>
                    </w:rPr>
                    <w:t xml:space="preserve">Q </w:t>
                  </w:r>
                </w:p>
              </w:tc>
              <w:tc>
                <w:tcPr>
                  <w:tcW w:w="0" w:type="auto"/>
                  <w:tcBorders>
                    <w:left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b/>
                      <w:bCs/>
                      <w:sz w:val="24"/>
                      <w:szCs w:val="24"/>
                    </w:rPr>
                    <w:t xml:space="preserve">P </w:t>
                  </w:r>
                </w:p>
              </w:tc>
              <w:tc>
                <w:tcPr>
                  <w:tcW w:w="0" w:type="auto"/>
                  <w:tcBorders>
                    <w:left w:val="single" w:sz="4" w:space="0" w:color="auto"/>
                    <w:bottom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b/>
                      <w:bCs/>
                      <w:sz w:val="24"/>
                      <w:szCs w:val="24"/>
                    </w:rPr>
                    <w:t xml:space="preserve">TC </w:t>
                  </w:r>
                </w:p>
              </w:tc>
            </w:tr>
            <w:tr w:rsidR="00BD7C16" w:rsidRPr="00BD7C16" w:rsidTr="00BD7C16">
              <w:trPr>
                <w:trHeight w:val="105"/>
              </w:trPr>
              <w:tc>
                <w:tcPr>
                  <w:tcW w:w="0" w:type="auto"/>
                  <w:tcBorders>
                    <w:top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1 </w:t>
                  </w:r>
                </w:p>
              </w:tc>
              <w:tc>
                <w:tcPr>
                  <w:tcW w:w="0" w:type="auto"/>
                  <w:tcBorders>
                    <w:top w:val="single" w:sz="4" w:space="0" w:color="auto"/>
                    <w:left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120 </w:t>
                  </w:r>
                </w:p>
              </w:tc>
              <w:tc>
                <w:tcPr>
                  <w:tcW w:w="0" w:type="auto"/>
                  <w:tcBorders>
                    <w:top w:val="single" w:sz="4" w:space="0" w:color="auto"/>
                    <w:left w:val="single" w:sz="4" w:space="0" w:color="auto"/>
                    <w:bottom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50 </w:t>
                  </w:r>
                </w:p>
              </w:tc>
            </w:tr>
            <w:tr w:rsidR="00BD7C16" w:rsidRPr="00BD7C16" w:rsidTr="00BD7C16">
              <w:trPr>
                <w:trHeight w:val="105"/>
              </w:trPr>
              <w:tc>
                <w:tcPr>
                  <w:tcW w:w="0" w:type="auto"/>
                  <w:tcBorders>
                    <w:top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2 </w:t>
                  </w:r>
                </w:p>
              </w:tc>
              <w:tc>
                <w:tcPr>
                  <w:tcW w:w="0" w:type="auto"/>
                  <w:tcBorders>
                    <w:top w:val="single" w:sz="4" w:space="0" w:color="auto"/>
                    <w:left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110 </w:t>
                  </w:r>
                </w:p>
              </w:tc>
              <w:tc>
                <w:tcPr>
                  <w:tcW w:w="0" w:type="auto"/>
                  <w:tcBorders>
                    <w:top w:val="single" w:sz="4" w:space="0" w:color="auto"/>
                    <w:left w:val="single" w:sz="4" w:space="0" w:color="auto"/>
                    <w:bottom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75 </w:t>
                  </w:r>
                </w:p>
              </w:tc>
            </w:tr>
            <w:tr w:rsidR="00BD7C16" w:rsidRPr="00BD7C16" w:rsidTr="00BD7C16">
              <w:trPr>
                <w:trHeight w:val="105"/>
              </w:trPr>
              <w:tc>
                <w:tcPr>
                  <w:tcW w:w="0" w:type="auto"/>
                  <w:tcBorders>
                    <w:top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3 </w:t>
                  </w:r>
                </w:p>
              </w:tc>
              <w:tc>
                <w:tcPr>
                  <w:tcW w:w="0" w:type="auto"/>
                  <w:tcBorders>
                    <w:top w:val="single" w:sz="4" w:space="0" w:color="auto"/>
                    <w:left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100 </w:t>
                  </w:r>
                </w:p>
              </w:tc>
              <w:tc>
                <w:tcPr>
                  <w:tcW w:w="0" w:type="auto"/>
                  <w:tcBorders>
                    <w:top w:val="single" w:sz="4" w:space="0" w:color="auto"/>
                    <w:left w:val="single" w:sz="4" w:space="0" w:color="auto"/>
                    <w:bottom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100 </w:t>
                  </w:r>
                </w:p>
              </w:tc>
            </w:tr>
            <w:tr w:rsidR="00BD7C16" w:rsidRPr="00BD7C16" w:rsidTr="00BD7C16">
              <w:trPr>
                <w:trHeight w:val="105"/>
              </w:trPr>
              <w:tc>
                <w:tcPr>
                  <w:tcW w:w="0" w:type="auto"/>
                  <w:tcBorders>
                    <w:top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4 </w:t>
                  </w:r>
                </w:p>
              </w:tc>
              <w:tc>
                <w:tcPr>
                  <w:tcW w:w="0" w:type="auto"/>
                  <w:tcBorders>
                    <w:top w:val="single" w:sz="4" w:space="0" w:color="auto"/>
                    <w:left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90 </w:t>
                  </w:r>
                </w:p>
              </w:tc>
              <w:tc>
                <w:tcPr>
                  <w:tcW w:w="0" w:type="auto"/>
                  <w:tcBorders>
                    <w:top w:val="single" w:sz="4" w:space="0" w:color="auto"/>
                    <w:left w:val="single" w:sz="4" w:space="0" w:color="auto"/>
                    <w:bottom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128 </w:t>
                  </w:r>
                </w:p>
              </w:tc>
            </w:tr>
            <w:tr w:rsidR="00BD7C16" w:rsidRPr="00BD7C16" w:rsidTr="00BD7C16">
              <w:trPr>
                <w:trHeight w:val="105"/>
              </w:trPr>
              <w:tc>
                <w:tcPr>
                  <w:tcW w:w="0" w:type="auto"/>
                  <w:tcBorders>
                    <w:top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5 </w:t>
                  </w:r>
                </w:p>
              </w:tc>
              <w:tc>
                <w:tcPr>
                  <w:tcW w:w="0" w:type="auto"/>
                  <w:tcBorders>
                    <w:top w:val="single" w:sz="4" w:space="0" w:color="auto"/>
                    <w:left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80 </w:t>
                  </w:r>
                </w:p>
              </w:tc>
              <w:tc>
                <w:tcPr>
                  <w:tcW w:w="0" w:type="auto"/>
                  <w:tcBorders>
                    <w:top w:val="single" w:sz="4" w:space="0" w:color="auto"/>
                    <w:left w:val="single" w:sz="4" w:space="0" w:color="auto"/>
                    <w:bottom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165 </w:t>
                  </w:r>
                </w:p>
              </w:tc>
            </w:tr>
            <w:tr w:rsidR="00BD7C16" w:rsidRPr="00BD7C16" w:rsidTr="00BD7C16">
              <w:trPr>
                <w:trHeight w:val="105"/>
              </w:trPr>
              <w:tc>
                <w:tcPr>
                  <w:tcW w:w="0" w:type="auto"/>
                  <w:tcBorders>
                    <w:top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6 </w:t>
                  </w:r>
                </w:p>
              </w:tc>
              <w:tc>
                <w:tcPr>
                  <w:tcW w:w="0" w:type="auto"/>
                  <w:tcBorders>
                    <w:top w:val="single" w:sz="4" w:space="0" w:color="auto"/>
                    <w:left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70 </w:t>
                  </w:r>
                </w:p>
              </w:tc>
              <w:tc>
                <w:tcPr>
                  <w:tcW w:w="0" w:type="auto"/>
                  <w:tcBorders>
                    <w:top w:val="single" w:sz="4" w:space="0" w:color="auto"/>
                    <w:left w:val="single" w:sz="4" w:space="0" w:color="auto"/>
                    <w:bottom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205 </w:t>
                  </w:r>
                </w:p>
              </w:tc>
            </w:tr>
            <w:tr w:rsidR="00BD7C16" w:rsidRPr="00BD7C16" w:rsidTr="00BD7C16">
              <w:trPr>
                <w:trHeight w:val="105"/>
              </w:trPr>
              <w:tc>
                <w:tcPr>
                  <w:tcW w:w="0" w:type="auto"/>
                  <w:tcBorders>
                    <w:top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7 </w:t>
                  </w:r>
                </w:p>
              </w:tc>
              <w:tc>
                <w:tcPr>
                  <w:tcW w:w="0" w:type="auto"/>
                  <w:tcBorders>
                    <w:top w:val="single" w:sz="4" w:space="0" w:color="auto"/>
                    <w:left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60 </w:t>
                  </w:r>
                </w:p>
              </w:tc>
              <w:tc>
                <w:tcPr>
                  <w:tcW w:w="0" w:type="auto"/>
                  <w:tcBorders>
                    <w:top w:val="single" w:sz="4" w:space="0" w:color="auto"/>
                    <w:left w:val="single" w:sz="4" w:space="0" w:color="auto"/>
                    <w:bottom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255 </w:t>
                  </w:r>
                </w:p>
              </w:tc>
            </w:tr>
            <w:tr w:rsidR="00BD7C16" w:rsidRPr="00BD7C16" w:rsidTr="00BD7C16">
              <w:trPr>
                <w:trHeight w:val="105"/>
              </w:trPr>
              <w:tc>
                <w:tcPr>
                  <w:tcW w:w="0" w:type="auto"/>
                  <w:tcBorders>
                    <w:top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8 </w:t>
                  </w:r>
                </w:p>
              </w:tc>
              <w:tc>
                <w:tcPr>
                  <w:tcW w:w="0" w:type="auto"/>
                  <w:tcBorders>
                    <w:top w:val="single" w:sz="4" w:space="0" w:color="auto"/>
                    <w:left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50 </w:t>
                  </w:r>
                </w:p>
              </w:tc>
              <w:tc>
                <w:tcPr>
                  <w:tcW w:w="0" w:type="auto"/>
                  <w:tcBorders>
                    <w:top w:val="single" w:sz="4" w:space="0" w:color="auto"/>
                    <w:lef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315 </w:t>
                  </w:r>
                </w:p>
              </w:tc>
            </w:tr>
          </w:tbl>
          <w:p w:rsidR="00BD7C16" w:rsidRDefault="00BD7C16" w:rsidP="00BD7C16">
            <w:pPr>
              <w:rPr>
                <w:rFonts w:ascii="Times New Roman" w:hAnsi="Times New Roman" w:cs="Times New Roman"/>
                <w:sz w:val="24"/>
                <w:szCs w:val="24"/>
              </w:rPr>
            </w:pPr>
          </w:p>
        </w:tc>
      </w:tr>
    </w:tbl>
    <w:p w:rsidR="008520B6" w:rsidRDefault="008520B6" w:rsidP="008520B6">
      <w:pPr>
        <w:pStyle w:val="ListParagraph"/>
        <w:rPr>
          <w:rFonts w:ascii="Times New Roman" w:hAnsi="Times New Roman" w:cs="Times New Roman"/>
          <w:sz w:val="24"/>
          <w:szCs w:val="24"/>
        </w:rPr>
      </w:pPr>
      <w:r>
        <w:rPr>
          <w:rFonts w:ascii="Times New Roman" w:hAnsi="Times New Roman" w:cs="Times New Roman"/>
          <w:sz w:val="24"/>
          <w:szCs w:val="24"/>
        </w:rPr>
        <w:t>Assume now a monopoly firm and answer the following.</w:t>
      </w:r>
    </w:p>
    <w:p w:rsidR="008520B6" w:rsidRDefault="008520B6" w:rsidP="008520B6">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Calculate the total-revenue, the marginal-revenue, and the marginal cost</w:t>
      </w:r>
    </w:p>
    <w:p w:rsidR="008520B6" w:rsidRDefault="007D4F30" w:rsidP="008520B6">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D</w:t>
      </w:r>
      <w:r w:rsidR="008520B6">
        <w:rPr>
          <w:rFonts w:ascii="Times New Roman" w:hAnsi="Times New Roman" w:cs="Times New Roman"/>
          <w:sz w:val="24"/>
          <w:szCs w:val="24"/>
        </w:rPr>
        <w:t>etermine the profit-maximizing price and profit-maximizing output for thi</w:t>
      </w:r>
      <w:r w:rsidR="001E0CE2">
        <w:rPr>
          <w:rFonts w:ascii="Times New Roman" w:hAnsi="Times New Roman" w:cs="Times New Roman"/>
          <w:sz w:val="24"/>
          <w:szCs w:val="24"/>
        </w:rPr>
        <w:t>r</w:t>
      </w:r>
      <w:r w:rsidR="008520B6">
        <w:rPr>
          <w:rFonts w:ascii="Times New Roman" w:hAnsi="Times New Roman" w:cs="Times New Roman"/>
          <w:sz w:val="24"/>
          <w:szCs w:val="24"/>
        </w:rPr>
        <w:t>d monopolist</w:t>
      </w:r>
    </w:p>
    <w:p w:rsidR="008520B6" w:rsidRDefault="008520B6" w:rsidP="008520B6">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What is the monopolist’s profit? Verify your answer graphically</w:t>
      </w:r>
    </w:p>
    <w:p w:rsidR="008520B6" w:rsidRDefault="008520B6" w:rsidP="008520B6">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Graphically show the area of deadweight loss.</w:t>
      </w:r>
    </w:p>
    <w:p w:rsidR="00BD7C16" w:rsidRPr="00BD7C16" w:rsidRDefault="00BD7C16" w:rsidP="00BD7C16">
      <w:pPr>
        <w:rPr>
          <w:rFonts w:ascii="Times New Roman" w:hAnsi="Times New Roman" w:cs="Times New Roman"/>
          <w:sz w:val="24"/>
          <w:szCs w:val="24"/>
        </w:rPr>
      </w:pPr>
    </w:p>
    <w:p w:rsidR="008520B6" w:rsidRDefault="008520B6" w:rsidP="008520B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Evaluate the following statements if it is true, false, or uncertain.</w:t>
      </w:r>
    </w:p>
    <w:p w:rsidR="008520B6" w:rsidRDefault="008520B6" w:rsidP="008520B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 monopoly firm charges the highest price since she has exclusive power to control market price</w:t>
      </w:r>
      <w:r w:rsidR="00BD7C16">
        <w:rPr>
          <w:rFonts w:ascii="Times New Roman" w:hAnsi="Times New Roman" w:cs="Times New Roman"/>
          <w:sz w:val="24"/>
          <w:szCs w:val="24"/>
        </w:rPr>
        <w:t xml:space="preserve"> - true</w:t>
      </w:r>
    </w:p>
    <w:p w:rsidR="008520B6" w:rsidRDefault="008520B6" w:rsidP="008520B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 monopsony firm pays more and hire price more than a firm under perfect competition</w:t>
      </w:r>
      <w:r w:rsidR="00BD7C16">
        <w:rPr>
          <w:rFonts w:ascii="Times New Roman" w:hAnsi="Times New Roman" w:cs="Times New Roman"/>
          <w:sz w:val="24"/>
          <w:szCs w:val="24"/>
        </w:rPr>
        <w:t xml:space="preserve"> - false</w:t>
      </w:r>
    </w:p>
    <w:p w:rsidR="008520B6" w:rsidRPr="008520B6" w:rsidRDefault="008520B6" w:rsidP="008520B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Monopoly firm is efficient</w:t>
      </w:r>
      <w:r w:rsidR="00BD7C16">
        <w:rPr>
          <w:rFonts w:ascii="Times New Roman" w:hAnsi="Times New Roman" w:cs="Times New Roman"/>
          <w:sz w:val="24"/>
          <w:szCs w:val="24"/>
        </w:rPr>
        <w:t xml:space="preserve"> - false</w:t>
      </w:r>
    </w:p>
    <w:sectPr w:rsidR="008520B6" w:rsidRPr="008520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entury Gothic">
    <w:altName w:val="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44939"/>
    <w:multiLevelType w:val="hybridMultilevel"/>
    <w:tmpl w:val="6B12FEEC"/>
    <w:lvl w:ilvl="0" w:tplc="4A2CF86A">
      <w:start w:val="1"/>
      <w:numFmt w:val="lowerLetter"/>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DF33BEB"/>
    <w:multiLevelType w:val="hybridMultilevel"/>
    <w:tmpl w:val="AA6220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FF6E0A"/>
    <w:multiLevelType w:val="hybridMultilevel"/>
    <w:tmpl w:val="FDB6ED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5D36E9"/>
    <w:multiLevelType w:val="hybridMultilevel"/>
    <w:tmpl w:val="1EFADCB6"/>
    <w:lvl w:ilvl="0" w:tplc="C352D5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32710CE"/>
    <w:multiLevelType w:val="hybridMultilevel"/>
    <w:tmpl w:val="5C045A7E"/>
    <w:lvl w:ilvl="0" w:tplc="810290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2DC1570"/>
    <w:multiLevelType w:val="hybridMultilevel"/>
    <w:tmpl w:val="EA263256"/>
    <w:lvl w:ilvl="0" w:tplc="1BECAA68">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nsid w:val="5E38620F"/>
    <w:multiLevelType w:val="hybridMultilevel"/>
    <w:tmpl w:val="34E22DC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ECB6E5E"/>
    <w:multiLevelType w:val="hybridMultilevel"/>
    <w:tmpl w:val="32CE6F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2F63DB1"/>
    <w:multiLevelType w:val="hybridMultilevel"/>
    <w:tmpl w:val="CC52DD30"/>
    <w:lvl w:ilvl="0" w:tplc="51A22D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4804C97"/>
    <w:multiLevelType w:val="hybridMultilevel"/>
    <w:tmpl w:val="4058D146"/>
    <w:lvl w:ilvl="0" w:tplc="1DFC94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4727BF8"/>
    <w:multiLevelType w:val="hybridMultilevel"/>
    <w:tmpl w:val="7A72C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7"/>
  </w:num>
  <w:num w:numId="3">
    <w:abstractNumId w:val="4"/>
  </w:num>
  <w:num w:numId="4">
    <w:abstractNumId w:val="6"/>
  </w:num>
  <w:num w:numId="5">
    <w:abstractNumId w:val="0"/>
  </w:num>
  <w:num w:numId="6">
    <w:abstractNumId w:val="9"/>
  </w:num>
  <w:num w:numId="7">
    <w:abstractNumId w:val="3"/>
  </w:num>
  <w:num w:numId="8">
    <w:abstractNumId w:val="5"/>
  </w:num>
  <w:num w:numId="9">
    <w:abstractNumId w:val="8"/>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6F1"/>
    <w:rsid w:val="00195FCE"/>
    <w:rsid w:val="001E0CE2"/>
    <w:rsid w:val="004B6854"/>
    <w:rsid w:val="006E35BF"/>
    <w:rsid w:val="007B151E"/>
    <w:rsid w:val="007D4F30"/>
    <w:rsid w:val="008520B6"/>
    <w:rsid w:val="008B6C5E"/>
    <w:rsid w:val="00907C96"/>
    <w:rsid w:val="00932DDF"/>
    <w:rsid w:val="009C345F"/>
    <w:rsid w:val="00B20F0A"/>
    <w:rsid w:val="00BD7C16"/>
    <w:rsid w:val="00BE2ED2"/>
    <w:rsid w:val="00C506F1"/>
    <w:rsid w:val="00D51639"/>
    <w:rsid w:val="00EE7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A22E4A-3726-4494-9761-6C13E55D1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06F1"/>
    <w:pPr>
      <w:ind w:left="720"/>
      <w:contextualSpacing/>
    </w:pPr>
  </w:style>
  <w:style w:type="table" w:styleId="TableGrid">
    <w:name w:val="Table Grid"/>
    <w:basedOn w:val="TableNormal"/>
    <w:uiPriority w:val="59"/>
    <w:rsid w:val="00BD7C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D7C16"/>
    <w:pPr>
      <w:autoSpaceDE w:val="0"/>
      <w:autoSpaceDN w:val="0"/>
      <w:adjustRightInd w:val="0"/>
      <w:spacing w:after="0" w:line="240" w:lineRule="auto"/>
    </w:pPr>
    <w:rPr>
      <w:rFonts w:ascii="Century Gothic" w:hAnsi="Century Gothic" w:cs="Century Gothic"/>
      <w:color w:val="000000"/>
      <w:sz w:val="24"/>
      <w:szCs w:val="24"/>
    </w:rPr>
  </w:style>
  <w:style w:type="paragraph" w:styleId="BalloonText">
    <w:name w:val="Balloon Text"/>
    <w:basedOn w:val="Normal"/>
    <w:link w:val="BalloonTextChar"/>
    <w:uiPriority w:val="99"/>
    <w:semiHidden/>
    <w:unhideWhenUsed/>
    <w:rsid w:val="008B6C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C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30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W</c:v>
                </c:pt>
              </c:strCache>
            </c:strRef>
          </c:tx>
          <c:marker>
            <c:symbol val="none"/>
          </c:marker>
          <c:cat>
            <c:numRef>
              <c:f>Sheet1!$A$2:$A$10</c:f>
              <c:numCache>
                <c:formatCode>General</c:formatCode>
                <c:ptCount val="9"/>
                <c:pt idx="0">
                  <c:v>1</c:v>
                </c:pt>
                <c:pt idx="1">
                  <c:v>2</c:v>
                </c:pt>
                <c:pt idx="2">
                  <c:v>3</c:v>
                </c:pt>
                <c:pt idx="3">
                  <c:v>4</c:v>
                </c:pt>
                <c:pt idx="4">
                  <c:v>5</c:v>
                </c:pt>
                <c:pt idx="5">
                  <c:v>6</c:v>
                </c:pt>
                <c:pt idx="6">
                  <c:v>7</c:v>
                </c:pt>
                <c:pt idx="7">
                  <c:v>8</c:v>
                </c:pt>
                <c:pt idx="8">
                  <c:v>9</c:v>
                </c:pt>
              </c:numCache>
            </c:numRef>
          </c:cat>
          <c:val>
            <c:numRef>
              <c:f>Sheet1!$B$2:$B$10</c:f>
              <c:numCache>
                <c:formatCode>General</c:formatCode>
                <c:ptCount val="9"/>
                <c:pt idx="0">
                  <c:v>10</c:v>
                </c:pt>
                <c:pt idx="1">
                  <c:v>15</c:v>
                </c:pt>
                <c:pt idx="2">
                  <c:v>20</c:v>
                </c:pt>
                <c:pt idx="3">
                  <c:v>25</c:v>
                </c:pt>
                <c:pt idx="4">
                  <c:v>30</c:v>
                </c:pt>
                <c:pt idx="5">
                  <c:v>35</c:v>
                </c:pt>
                <c:pt idx="6">
                  <c:v>40</c:v>
                </c:pt>
                <c:pt idx="7">
                  <c:v>45</c:v>
                </c:pt>
                <c:pt idx="8">
                  <c:v>50</c:v>
                </c:pt>
              </c:numCache>
            </c:numRef>
          </c:val>
          <c:smooth val="0"/>
        </c:ser>
        <c:ser>
          <c:idx val="1"/>
          <c:order val="1"/>
          <c:tx>
            <c:strRef>
              <c:f>Sheet1!$C$1</c:f>
              <c:strCache>
                <c:ptCount val="1"/>
                <c:pt idx="0">
                  <c:v>MP</c:v>
                </c:pt>
              </c:strCache>
            </c:strRef>
          </c:tx>
          <c:marker>
            <c:symbol val="none"/>
          </c:marker>
          <c:cat>
            <c:numRef>
              <c:f>Sheet1!$A$2:$A$10</c:f>
              <c:numCache>
                <c:formatCode>General</c:formatCode>
                <c:ptCount val="9"/>
                <c:pt idx="0">
                  <c:v>1</c:v>
                </c:pt>
                <c:pt idx="1">
                  <c:v>2</c:v>
                </c:pt>
                <c:pt idx="2">
                  <c:v>3</c:v>
                </c:pt>
                <c:pt idx="3">
                  <c:v>4</c:v>
                </c:pt>
                <c:pt idx="4">
                  <c:v>5</c:v>
                </c:pt>
                <c:pt idx="5">
                  <c:v>6</c:v>
                </c:pt>
                <c:pt idx="6">
                  <c:v>7</c:v>
                </c:pt>
                <c:pt idx="7">
                  <c:v>8</c:v>
                </c:pt>
                <c:pt idx="8">
                  <c:v>9</c:v>
                </c:pt>
              </c:numCache>
            </c:numRef>
          </c:cat>
          <c:val>
            <c:numRef>
              <c:f>Sheet1!$C$2:$C$10</c:f>
              <c:numCache>
                <c:formatCode>General</c:formatCode>
                <c:ptCount val="9"/>
                <c:pt idx="0">
                  <c:v>25</c:v>
                </c:pt>
                <c:pt idx="1">
                  <c:v>22.5</c:v>
                </c:pt>
                <c:pt idx="2">
                  <c:v>20</c:v>
                </c:pt>
                <c:pt idx="3">
                  <c:v>17.5</c:v>
                </c:pt>
                <c:pt idx="4">
                  <c:v>15</c:v>
                </c:pt>
                <c:pt idx="5">
                  <c:v>12.5</c:v>
                </c:pt>
                <c:pt idx="6">
                  <c:v>10</c:v>
                </c:pt>
                <c:pt idx="7">
                  <c:v>7.5</c:v>
                </c:pt>
                <c:pt idx="8">
                  <c:v>5</c:v>
                </c:pt>
              </c:numCache>
            </c:numRef>
          </c:val>
          <c:smooth val="0"/>
        </c:ser>
        <c:ser>
          <c:idx val="2"/>
          <c:order val="2"/>
          <c:tx>
            <c:strRef>
              <c:f>Sheet1!$D$1</c:f>
              <c:strCache>
                <c:ptCount val="1"/>
                <c:pt idx="0">
                  <c:v>Column1</c:v>
                </c:pt>
              </c:strCache>
            </c:strRef>
          </c:tx>
          <c:marker>
            <c:symbol val="none"/>
          </c:marker>
          <c:cat>
            <c:numRef>
              <c:f>Sheet1!$A$2:$A$10</c:f>
              <c:numCache>
                <c:formatCode>General</c:formatCode>
                <c:ptCount val="9"/>
                <c:pt idx="0">
                  <c:v>1</c:v>
                </c:pt>
                <c:pt idx="1">
                  <c:v>2</c:v>
                </c:pt>
                <c:pt idx="2">
                  <c:v>3</c:v>
                </c:pt>
                <c:pt idx="3">
                  <c:v>4</c:v>
                </c:pt>
                <c:pt idx="4">
                  <c:v>5</c:v>
                </c:pt>
                <c:pt idx="5">
                  <c:v>6</c:v>
                </c:pt>
                <c:pt idx="6">
                  <c:v>7</c:v>
                </c:pt>
                <c:pt idx="7">
                  <c:v>8</c:v>
                </c:pt>
                <c:pt idx="8">
                  <c:v>9</c:v>
                </c:pt>
              </c:numCache>
            </c:numRef>
          </c:cat>
          <c:val>
            <c:numRef>
              <c:f>Sheet1!$D$2:$D$10</c:f>
              <c:numCache>
                <c:formatCode>General</c:formatCode>
                <c:ptCount val="9"/>
              </c:numCache>
            </c:numRef>
          </c:val>
          <c:smooth val="0"/>
        </c:ser>
        <c:dLbls>
          <c:showLegendKey val="0"/>
          <c:showVal val="0"/>
          <c:showCatName val="0"/>
          <c:showSerName val="0"/>
          <c:showPercent val="0"/>
          <c:showBubbleSize val="0"/>
        </c:dLbls>
        <c:smooth val="0"/>
        <c:axId val="256265440"/>
        <c:axId val="256266000"/>
      </c:lineChart>
      <c:catAx>
        <c:axId val="256265440"/>
        <c:scaling>
          <c:orientation val="minMax"/>
        </c:scaling>
        <c:delete val="0"/>
        <c:axPos val="b"/>
        <c:numFmt formatCode="General" sourceLinked="1"/>
        <c:majorTickMark val="out"/>
        <c:minorTickMark val="none"/>
        <c:tickLblPos val="nextTo"/>
        <c:crossAx val="256266000"/>
        <c:crosses val="autoZero"/>
        <c:auto val="1"/>
        <c:lblAlgn val="ctr"/>
        <c:lblOffset val="100"/>
        <c:noMultiLvlLbl val="0"/>
      </c:catAx>
      <c:valAx>
        <c:axId val="256266000"/>
        <c:scaling>
          <c:orientation val="minMax"/>
        </c:scaling>
        <c:delete val="0"/>
        <c:axPos val="l"/>
        <c:majorGridlines/>
        <c:numFmt formatCode="General" sourceLinked="1"/>
        <c:majorTickMark val="out"/>
        <c:minorTickMark val="none"/>
        <c:tickLblPos val="nextTo"/>
        <c:crossAx val="25626544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P</c:v>
                </c:pt>
              </c:strCache>
            </c:strRef>
          </c:tx>
          <c:marker>
            <c:symbol val="none"/>
          </c:marker>
          <c:cat>
            <c:numRef>
              <c:f>Sheet1!$D$2:$D$9</c:f>
              <c:numCache>
                <c:formatCode>General</c:formatCode>
                <c:ptCount val="8"/>
                <c:pt idx="0">
                  <c:v>1</c:v>
                </c:pt>
                <c:pt idx="1">
                  <c:v>2</c:v>
                </c:pt>
                <c:pt idx="2">
                  <c:v>3</c:v>
                </c:pt>
                <c:pt idx="3">
                  <c:v>4</c:v>
                </c:pt>
                <c:pt idx="4">
                  <c:v>5</c:v>
                </c:pt>
                <c:pt idx="5">
                  <c:v>6</c:v>
                </c:pt>
                <c:pt idx="6">
                  <c:v>7</c:v>
                </c:pt>
                <c:pt idx="7">
                  <c:v>8</c:v>
                </c:pt>
              </c:numCache>
            </c:numRef>
          </c:cat>
          <c:val>
            <c:numRef>
              <c:f>Sheet1!$B$2:$B$9</c:f>
              <c:numCache>
                <c:formatCode>General</c:formatCode>
                <c:ptCount val="8"/>
                <c:pt idx="0">
                  <c:v>120</c:v>
                </c:pt>
                <c:pt idx="1">
                  <c:v>110</c:v>
                </c:pt>
                <c:pt idx="2">
                  <c:v>100</c:v>
                </c:pt>
                <c:pt idx="3">
                  <c:v>90</c:v>
                </c:pt>
                <c:pt idx="4">
                  <c:v>80</c:v>
                </c:pt>
                <c:pt idx="5">
                  <c:v>70</c:v>
                </c:pt>
                <c:pt idx="6">
                  <c:v>60</c:v>
                </c:pt>
                <c:pt idx="7">
                  <c:v>50</c:v>
                </c:pt>
              </c:numCache>
            </c:numRef>
          </c:val>
          <c:smooth val="0"/>
        </c:ser>
        <c:ser>
          <c:idx val="1"/>
          <c:order val="1"/>
          <c:tx>
            <c:strRef>
              <c:f>Sheet1!$C$1</c:f>
              <c:strCache>
                <c:ptCount val="1"/>
                <c:pt idx="0">
                  <c:v>TC</c:v>
                </c:pt>
              </c:strCache>
            </c:strRef>
          </c:tx>
          <c:marker>
            <c:symbol val="none"/>
          </c:marker>
          <c:cat>
            <c:numRef>
              <c:f>Sheet1!$D$2:$D$9</c:f>
              <c:numCache>
                <c:formatCode>General</c:formatCode>
                <c:ptCount val="8"/>
                <c:pt idx="0">
                  <c:v>1</c:v>
                </c:pt>
                <c:pt idx="1">
                  <c:v>2</c:v>
                </c:pt>
                <c:pt idx="2">
                  <c:v>3</c:v>
                </c:pt>
                <c:pt idx="3">
                  <c:v>4</c:v>
                </c:pt>
                <c:pt idx="4">
                  <c:v>5</c:v>
                </c:pt>
                <c:pt idx="5">
                  <c:v>6</c:v>
                </c:pt>
                <c:pt idx="6">
                  <c:v>7</c:v>
                </c:pt>
                <c:pt idx="7">
                  <c:v>8</c:v>
                </c:pt>
              </c:numCache>
            </c:numRef>
          </c:cat>
          <c:val>
            <c:numRef>
              <c:f>Sheet1!$C$2:$C$9</c:f>
              <c:numCache>
                <c:formatCode>General</c:formatCode>
                <c:ptCount val="8"/>
                <c:pt idx="0">
                  <c:v>50</c:v>
                </c:pt>
                <c:pt idx="1">
                  <c:v>75</c:v>
                </c:pt>
                <c:pt idx="2">
                  <c:v>100</c:v>
                </c:pt>
                <c:pt idx="3">
                  <c:v>128</c:v>
                </c:pt>
                <c:pt idx="4">
                  <c:v>165</c:v>
                </c:pt>
                <c:pt idx="5">
                  <c:v>205</c:v>
                </c:pt>
                <c:pt idx="6">
                  <c:v>255</c:v>
                </c:pt>
                <c:pt idx="7">
                  <c:v>315</c:v>
                </c:pt>
              </c:numCache>
            </c:numRef>
          </c:val>
          <c:smooth val="0"/>
        </c:ser>
        <c:ser>
          <c:idx val="2"/>
          <c:order val="2"/>
          <c:tx>
            <c:strRef>
              <c:f>Sheet1!$D$1</c:f>
              <c:strCache>
                <c:ptCount val="1"/>
                <c:pt idx="0">
                  <c:v>Q</c:v>
                </c:pt>
              </c:strCache>
            </c:strRef>
          </c:tx>
          <c:marker>
            <c:symbol val="none"/>
          </c:marker>
          <c:cat>
            <c:numRef>
              <c:f>Sheet1!$D$2:$D$9</c:f>
              <c:numCache>
                <c:formatCode>General</c:formatCode>
                <c:ptCount val="8"/>
                <c:pt idx="0">
                  <c:v>1</c:v>
                </c:pt>
                <c:pt idx="1">
                  <c:v>2</c:v>
                </c:pt>
                <c:pt idx="2">
                  <c:v>3</c:v>
                </c:pt>
                <c:pt idx="3">
                  <c:v>4</c:v>
                </c:pt>
                <c:pt idx="4">
                  <c:v>5</c:v>
                </c:pt>
                <c:pt idx="5">
                  <c:v>6</c:v>
                </c:pt>
                <c:pt idx="6">
                  <c:v>7</c:v>
                </c:pt>
                <c:pt idx="7">
                  <c:v>8</c:v>
                </c:pt>
              </c:numCache>
            </c:numRef>
          </c:cat>
          <c:val>
            <c:numRef>
              <c:f>Sheet1!#REF!</c:f>
              <c:numCache>
                <c:formatCode>General</c:formatCode>
                <c:ptCount val="1"/>
                <c:pt idx="0">
                  <c:v>1</c:v>
                </c:pt>
              </c:numCache>
            </c:numRef>
          </c:val>
          <c:smooth val="0"/>
        </c:ser>
        <c:dLbls>
          <c:showLegendKey val="0"/>
          <c:showVal val="0"/>
          <c:showCatName val="0"/>
          <c:showSerName val="0"/>
          <c:showPercent val="0"/>
          <c:showBubbleSize val="0"/>
        </c:dLbls>
        <c:smooth val="0"/>
        <c:axId val="255458640"/>
        <c:axId val="255459200"/>
      </c:lineChart>
      <c:catAx>
        <c:axId val="255458640"/>
        <c:scaling>
          <c:orientation val="minMax"/>
        </c:scaling>
        <c:delete val="0"/>
        <c:axPos val="b"/>
        <c:numFmt formatCode="General" sourceLinked="1"/>
        <c:majorTickMark val="out"/>
        <c:minorTickMark val="none"/>
        <c:tickLblPos val="nextTo"/>
        <c:crossAx val="255459200"/>
        <c:crosses val="autoZero"/>
        <c:auto val="1"/>
        <c:lblAlgn val="ctr"/>
        <c:lblOffset val="100"/>
        <c:noMultiLvlLbl val="0"/>
      </c:catAx>
      <c:valAx>
        <c:axId val="255459200"/>
        <c:scaling>
          <c:orientation val="minMax"/>
        </c:scaling>
        <c:delete val="0"/>
        <c:axPos val="l"/>
        <c:majorGridlines/>
        <c:numFmt formatCode="General" sourceLinked="1"/>
        <c:majorTickMark val="out"/>
        <c:minorTickMark val="none"/>
        <c:tickLblPos val="nextTo"/>
        <c:crossAx val="25545864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1289</Words>
  <Characters>7350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Katto</dc:creator>
  <cp:lastModifiedBy>amo</cp:lastModifiedBy>
  <cp:revision>2</cp:revision>
  <dcterms:created xsi:type="dcterms:W3CDTF">2019-11-14T21:04:00Z</dcterms:created>
  <dcterms:modified xsi:type="dcterms:W3CDTF">2019-11-14T21:04:00Z</dcterms:modified>
</cp:coreProperties>
</file>